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35FF4" w14:textId="4997E43C" w:rsidR="007138D7" w:rsidRDefault="007138D7" w:rsidP="00B1644E">
      <w:pPr>
        <w:tabs>
          <w:tab w:val="left" w:pos="3402"/>
        </w:tabs>
        <w:rPr>
          <w:rFonts w:ascii="Arial" w:hAnsi="Arial" w:cs="Arial"/>
          <w:sz w:val="20"/>
          <w:szCs w:val="20"/>
        </w:rPr>
      </w:pPr>
      <w:r>
        <w:rPr>
          <w:rFonts w:ascii="Arial" w:hAnsi="Arial" w:cs="Arial"/>
          <w:b/>
          <w:bCs/>
          <w:sz w:val="20"/>
          <w:szCs w:val="20"/>
          <w:u w:val="single"/>
          <w:lang w:val="fr-FR"/>
        </w:rPr>
        <w:t>PORTE RAPIDE À ENROULEMENT</w:t>
      </w:r>
      <w:r>
        <w:rPr>
          <w:rFonts w:ascii="Arial" w:hAnsi="Arial" w:cs="Arial"/>
          <w:b/>
          <w:bCs/>
          <w:sz w:val="20"/>
          <w:szCs w:val="20"/>
          <w:lang w:val="fr-FR"/>
        </w:rPr>
        <w:t>, type « EFA-SRT-L Value® »</w:t>
      </w:r>
      <w:r>
        <w:rPr>
          <w:rFonts w:ascii="Arial" w:hAnsi="Arial" w:cs="Arial"/>
          <w:sz w:val="20"/>
          <w:szCs w:val="20"/>
          <w:lang w:val="fr-FR"/>
        </w:rPr>
        <w:br/>
      </w:r>
      <w:r>
        <w:rPr>
          <w:rFonts w:ascii="Arial" w:hAnsi="Arial" w:cs="Arial"/>
          <w:sz w:val="20"/>
          <w:szCs w:val="20"/>
          <w:lang w:val="fr-FR"/>
        </w:rPr>
        <w:br/>
        <w:t>Fabrication, livraison et installation de</w:t>
      </w:r>
      <w:r>
        <w:rPr>
          <w:rFonts w:ascii="Arial" w:hAnsi="Arial" w:cs="Arial"/>
          <w:sz w:val="20"/>
          <w:szCs w:val="20"/>
          <w:lang w:val="fr-FR"/>
        </w:rPr>
        <w:br/>
      </w:r>
      <w:r>
        <w:rPr>
          <w:rFonts w:ascii="Arial" w:hAnsi="Arial" w:cs="Arial"/>
          <w:sz w:val="20"/>
          <w:szCs w:val="20"/>
          <w:lang w:val="fr-FR"/>
        </w:rPr>
        <w:br/>
        <w:t>Porte rapide à enroulement, type « EFA-SRT-L Value® », avec unité d’entraînement électromécanique haute performance pour une utilisation industrielle permanente.</w:t>
      </w:r>
      <w:r>
        <w:rPr>
          <w:rFonts w:ascii="Arial" w:hAnsi="Arial" w:cs="Arial"/>
          <w:sz w:val="20"/>
          <w:szCs w:val="20"/>
          <w:lang w:val="fr-FR"/>
        </w:rPr>
        <w:br/>
      </w:r>
      <w:r>
        <w:rPr>
          <w:rFonts w:ascii="Arial" w:hAnsi="Arial" w:cs="Arial"/>
          <w:sz w:val="20"/>
          <w:szCs w:val="20"/>
          <w:lang w:val="fr-FR"/>
        </w:rPr>
        <w:br/>
        <w:t>Pour équilibrer le poids du tablier et ouvrir manuellement la porte en cas de panne de courant (conformément à la norme DIN EN 12604), un mécanisme spécial de ressort de traction doit être intégré dans le cadre latéral. Ce système de contre-action durable et extrêmement facile à entretenir est obligatoire. Les constructions utilisant des ressorts de torsion ne sont pas admissibles. Tablier standard en tissu de polyester enduit de PVC de 0,8 mm d’épaisseur, guidé latéralement et enroulé sur un arbre supporté horizontalement. Construction en acier, complètement étanche, galvanisée par sendizimir en standard.</w:t>
      </w:r>
      <w:r>
        <w:rPr>
          <w:rFonts w:ascii="Arial" w:hAnsi="Arial" w:cs="Arial"/>
          <w:sz w:val="20"/>
          <w:szCs w:val="20"/>
          <w:lang w:val="fr-FR"/>
        </w:rPr>
        <w:br/>
      </w:r>
      <w:r>
        <w:rPr>
          <w:rFonts w:ascii="Arial" w:hAnsi="Arial" w:cs="Arial"/>
          <w:sz w:val="20"/>
          <w:szCs w:val="20"/>
          <w:lang w:val="fr-FR"/>
        </w:rPr>
        <w:br/>
        <w:t>La PORTE est actionnée par un motoréducteur qui doit être développé comme un moteur à haute fréquence. Les positions de la porte sont détectées en permanence au moyen de détecteurs de proximité inductifs inusables, les limites étant déterminées électroniquement. Les fins de course électromécaniques ne sont pas autorisées dans ce cas.</w:t>
      </w:r>
      <w:r>
        <w:rPr>
          <w:rFonts w:ascii="Arial" w:hAnsi="Arial" w:cs="Arial"/>
          <w:sz w:val="20"/>
          <w:szCs w:val="20"/>
          <w:lang w:val="fr-FR"/>
        </w:rPr>
        <w:br/>
      </w:r>
      <w:r>
        <w:rPr>
          <w:rFonts w:ascii="Arial" w:hAnsi="Arial" w:cs="Arial"/>
          <w:sz w:val="20"/>
          <w:szCs w:val="20"/>
          <w:lang w:val="fr-FR"/>
        </w:rPr>
        <w:br/>
      </w:r>
      <w:r>
        <w:rPr>
          <w:rFonts w:ascii="Arial" w:hAnsi="Arial" w:cs="Arial"/>
          <w:b/>
          <w:bCs/>
          <w:sz w:val="20"/>
          <w:szCs w:val="20"/>
          <w:lang w:val="fr-FR"/>
        </w:rPr>
        <w:t xml:space="preserve">VITESSE D’OUVERTURE : </w:t>
      </w:r>
      <w:r>
        <w:rPr>
          <w:rFonts w:ascii="Arial" w:hAnsi="Arial" w:cs="Arial"/>
          <w:b/>
          <w:bCs/>
          <w:sz w:val="20"/>
          <w:szCs w:val="20"/>
          <w:lang w:val="fr-FR"/>
        </w:rPr>
        <w:tab/>
        <w:t>jusqu’à env. 1,3 m/sec.</w:t>
      </w:r>
      <w:r>
        <w:rPr>
          <w:rFonts w:ascii="Arial" w:hAnsi="Arial" w:cs="Arial"/>
          <w:sz w:val="20"/>
          <w:szCs w:val="20"/>
          <w:lang w:val="fr-FR"/>
        </w:rPr>
        <w:br/>
      </w:r>
      <w:r>
        <w:rPr>
          <w:rFonts w:ascii="Arial" w:hAnsi="Arial" w:cs="Arial"/>
          <w:b/>
          <w:bCs/>
          <w:sz w:val="20"/>
          <w:szCs w:val="20"/>
          <w:lang w:val="fr-FR"/>
        </w:rPr>
        <w:t xml:space="preserve">VITESSE DE TABLIER max. : </w:t>
      </w:r>
      <w:r>
        <w:rPr>
          <w:rFonts w:ascii="Arial" w:hAnsi="Arial" w:cs="Arial"/>
          <w:b/>
          <w:bCs/>
          <w:sz w:val="20"/>
          <w:szCs w:val="20"/>
          <w:lang w:val="fr-FR"/>
        </w:rPr>
        <w:tab/>
        <w:t>jusqu’à env. 1,7 m/sec.</w:t>
      </w:r>
      <w:r>
        <w:rPr>
          <w:rFonts w:ascii="Arial" w:hAnsi="Arial" w:cs="Arial"/>
          <w:sz w:val="20"/>
          <w:szCs w:val="20"/>
          <w:lang w:val="fr-FR"/>
        </w:rPr>
        <w:br/>
      </w:r>
      <w:r w:rsidR="00B1644E">
        <w:rPr>
          <w:rFonts w:ascii="Arial" w:hAnsi="Arial" w:cs="Arial"/>
          <w:b/>
          <w:bCs/>
          <w:sz w:val="20"/>
          <w:szCs w:val="20"/>
          <w:lang w:val="fr-FR"/>
        </w:rPr>
        <w:tab/>
      </w:r>
      <w:r>
        <w:rPr>
          <w:rFonts w:ascii="Arial" w:hAnsi="Arial" w:cs="Arial"/>
          <w:b/>
          <w:bCs/>
          <w:sz w:val="20"/>
          <w:szCs w:val="20"/>
          <w:lang w:val="fr-FR"/>
        </w:rPr>
        <w:t>(en fonction de la taille de la porte)</w:t>
      </w:r>
      <w:r>
        <w:rPr>
          <w:rFonts w:ascii="Arial" w:hAnsi="Arial" w:cs="Arial"/>
          <w:sz w:val="20"/>
          <w:szCs w:val="20"/>
          <w:lang w:val="fr-FR"/>
        </w:rPr>
        <w:br/>
      </w:r>
      <w:r>
        <w:rPr>
          <w:rFonts w:ascii="Arial" w:hAnsi="Arial" w:cs="Arial"/>
          <w:b/>
          <w:bCs/>
          <w:sz w:val="20"/>
          <w:szCs w:val="20"/>
          <w:lang w:val="fr-FR"/>
        </w:rPr>
        <w:t xml:space="preserve">VITESSE DE FERMETURE : </w:t>
      </w:r>
      <w:r>
        <w:rPr>
          <w:rFonts w:ascii="Arial" w:hAnsi="Arial" w:cs="Arial"/>
          <w:b/>
          <w:bCs/>
          <w:sz w:val="20"/>
          <w:szCs w:val="20"/>
          <w:lang w:val="fr-FR"/>
        </w:rPr>
        <w:tab/>
        <w:t>jusqu’à env. 0,6 m/sec.</w:t>
      </w:r>
      <w:r>
        <w:rPr>
          <w:rFonts w:ascii="Arial" w:hAnsi="Arial" w:cs="Arial"/>
          <w:sz w:val="20"/>
          <w:szCs w:val="20"/>
          <w:lang w:val="fr-FR"/>
        </w:rPr>
        <w:br/>
      </w:r>
      <w:r>
        <w:rPr>
          <w:rFonts w:ascii="Arial" w:hAnsi="Arial" w:cs="Arial"/>
          <w:sz w:val="20"/>
          <w:szCs w:val="20"/>
          <w:lang w:val="fr-FR"/>
        </w:rPr>
        <w:br/>
        <w:t xml:space="preserve">La </w:t>
      </w:r>
      <w:r>
        <w:rPr>
          <w:rFonts w:ascii="Arial" w:hAnsi="Arial" w:cs="Arial"/>
          <w:b/>
          <w:bCs/>
          <w:sz w:val="20"/>
          <w:szCs w:val="20"/>
          <w:lang w:val="fr-FR"/>
        </w:rPr>
        <w:t>COMMANDE DE MICROPROCESSEUR</w:t>
      </w:r>
      <w:r>
        <w:rPr>
          <w:rFonts w:ascii="Arial" w:hAnsi="Arial" w:cs="Arial"/>
          <w:sz w:val="20"/>
          <w:szCs w:val="20"/>
          <w:lang w:val="fr-FR"/>
        </w:rPr>
        <w:t xml:space="preserve"> est installée avec le variateur de fréquence intégré dans une armoire électrique séparée en plastique, indice de protection IP 54. Raccordement électrique 230 V / 50 Hz sur place.</w:t>
      </w:r>
      <w:r>
        <w:rPr>
          <w:rFonts w:ascii="Arial" w:hAnsi="Arial" w:cs="Arial"/>
          <w:sz w:val="20"/>
          <w:szCs w:val="20"/>
          <w:lang w:val="fr-FR"/>
        </w:rPr>
        <w:br/>
      </w:r>
      <w:r>
        <w:rPr>
          <w:rFonts w:ascii="Arial" w:hAnsi="Arial" w:cs="Arial"/>
          <w:sz w:val="20"/>
          <w:szCs w:val="20"/>
          <w:lang w:val="fr-FR"/>
        </w:rPr>
        <w:br/>
        <w:t>La livraison comprend une barrière lumineuse mobile et pré-existante en combinaison avec une barrière lumineuse fixe, les deux systèmes étant placés exactement dans la ligne de fermeture de la porte.</w:t>
      </w:r>
      <w:r>
        <w:rPr>
          <w:rFonts w:ascii="Arial" w:hAnsi="Arial" w:cs="Arial"/>
          <w:sz w:val="20"/>
          <w:szCs w:val="20"/>
          <w:lang w:val="fr-FR"/>
        </w:rPr>
        <w:br/>
      </w:r>
      <w:r>
        <w:rPr>
          <w:rFonts w:ascii="Arial" w:hAnsi="Arial" w:cs="Arial"/>
          <w:sz w:val="20"/>
          <w:szCs w:val="20"/>
          <w:lang w:val="fr-FR"/>
        </w:rPr>
        <w:br/>
        <w:t>Les dispositions de la norme DIN EN 13241-1 sont respectées ;</w:t>
      </w:r>
      <w:r>
        <w:rPr>
          <w:rFonts w:ascii="Arial" w:hAnsi="Arial" w:cs="Arial"/>
          <w:sz w:val="20"/>
          <w:szCs w:val="20"/>
          <w:lang w:val="fr-FR"/>
        </w:rPr>
        <w:br/>
      </w:r>
      <w:r>
        <w:rPr>
          <w:rFonts w:ascii="Arial" w:hAnsi="Arial" w:cs="Arial"/>
          <w:sz w:val="20"/>
          <w:szCs w:val="20"/>
          <w:lang w:val="fr-FR"/>
        </w:rPr>
        <w:br/>
      </w:r>
      <w:r>
        <w:rPr>
          <w:rFonts w:ascii="Arial" w:hAnsi="Arial" w:cs="Arial"/>
          <w:sz w:val="20"/>
          <w:szCs w:val="20"/>
          <w:lang w:val="fr-FR"/>
        </w:rPr>
        <w:br/>
        <w:t>pour les dimensions de l’ouverture libre</w:t>
      </w:r>
      <w:r>
        <w:rPr>
          <w:rFonts w:ascii="Arial" w:hAnsi="Arial" w:cs="Arial"/>
          <w:sz w:val="20"/>
          <w:szCs w:val="20"/>
          <w:lang w:val="fr-FR"/>
        </w:rPr>
        <w:br/>
      </w:r>
      <w:r>
        <w:rPr>
          <w:rFonts w:ascii="Arial" w:hAnsi="Arial" w:cs="Arial"/>
          <w:sz w:val="20"/>
          <w:szCs w:val="20"/>
          <w:lang w:val="fr-FR"/>
        </w:rPr>
        <w:br/>
        <w:t>Largeur = ............... mm  x  Hauteur = ............... mm</w:t>
      </w:r>
      <w:r>
        <w:rPr>
          <w:rFonts w:ascii="Arial" w:hAnsi="Arial" w:cs="Arial"/>
          <w:sz w:val="20"/>
          <w:szCs w:val="20"/>
          <w:lang w:val="fr-FR"/>
        </w:rPr>
        <w:br/>
      </w:r>
      <w:r>
        <w:rPr>
          <w:rFonts w:ascii="Arial" w:hAnsi="Arial" w:cs="Arial"/>
          <w:sz w:val="20"/>
          <w:szCs w:val="20"/>
          <w:lang w:val="fr-FR"/>
        </w:rPr>
        <w:br/>
        <w:t>Fabricant :</w:t>
      </w:r>
      <w:r>
        <w:rPr>
          <w:rFonts w:ascii="Arial" w:hAnsi="Arial" w:cs="Arial"/>
          <w:sz w:val="20"/>
          <w:szCs w:val="20"/>
          <w:lang w:val="fr-FR"/>
        </w:rPr>
        <w:br/>
        <w:t>EFAFLEX Tor- und Sicherheitssysteme GmbH &amp; Co. KG</w:t>
      </w:r>
      <w:r>
        <w:rPr>
          <w:rFonts w:ascii="Arial" w:hAnsi="Arial" w:cs="Arial"/>
          <w:sz w:val="20"/>
          <w:szCs w:val="20"/>
          <w:lang w:val="fr-FR"/>
        </w:rPr>
        <w:br/>
        <w:t>www.efaflex.com</w:t>
      </w:r>
      <w:r>
        <w:rPr>
          <w:rFonts w:ascii="Arial" w:hAnsi="Arial" w:cs="Arial"/>
          <w:sz w:val="20"/>
          <w:szCs w:val="20"/>
          <w:lang w:val="fr-FR"/>
        </w:rPr>
        <w:br/>
      </w:r>
      <w:r>
        <w:rPr>
          <w:rFonts w:ascii="Arial" w:hAnsi="Arial" w:cs="Arial"/>
          <w:sz w:val="20"/>
          <w:szCs w:val="20"/>
          <w:lang w:val="fr-FR"/>
        </w:rPr>
        <w:br/>
      </w:r>
      <w:r>
        <w:rPr>
          <w:rFonts w:ascii="Arial" w:hAnsi="Arial" w:cs="Arial"/>
          <w:b/>
          <w:bCs/>
          <w:sz w:val="20"/>
          <w:szCs w:val="20"/>
          <w:u w:val="single"/>
          <w:lang w:val="fr-FR"/>
        </w:rPr>
        <w:t>OPTIONS pour porte rapide à enroulement, type « EFA-SRT-L Value® » :</w:t>
      </w:r>
      <w:r>
        <w:rPr>
          <w:rFonts w:ascii="Arial" w:hAnsi="Arial" w:cs="Arial"/>
          <w:sz w:val="20"/>
          <w:szCs w:val="20"/>
          <w:lang w:val="fr-FR"/>
        </w:rPr>
        <w:br/>
      </w:r>
      <w:r>
        <w:rPr>
          <w:rFonts w:ascii="Arial" w:hAnsi="Arial" w:cs="Arial"/>
          <w:sz w:val="20"/>
          <w:szCs w:val="20"/>
          <w:lang w:val="fr-FR"/>
        </w:rPr>
        <w:br/>
      </w:r>
      <w:r>
        <w:rPr>
          <w:rFonts w:ascii="Arial" w:hAnsi="Arial" w:cs="Arial"/>
          <w:b/>
          <w:bCs/>
          <w:sz w:val="20"/>
          <w:szCs w:val="20"/>
          <w:lang w:val="fr-FR"/>
        </w:rPr>
        <w:t>Couvercle de l’arbre d’enroulement/moteur :</w:t>
      </w:r>
      <w:r>
        <w:rPr>
          <w:rFonts w:ascii="Arial" w:hAnsi="Arial" w:cs="Arial"/>
          <w:sz w:val="20"/>
          <w:szCs w:val="20"/>
          <w:lang w:val="fr-FR"/>
        </w:rPr>
        <w:br/>
        <w:t>recouvrement complet du moteur et de l’arbre</w:t>
      </w:r>
    </w:p>
    <w:p w14:paraId="2F714B78" w14:textId="77777777" w:rsidR="007138D7" w:rsidRDefault="007138D7" w:rsidP="007138D7">
      <w:pPr>
        <w:rPr>
          <w:rFonts w:ascii="Arial" w:hAnsi="Arial" w:cs="Arial"/>
          <w:sz w:val="20"/>
          <w:szCs w:val="20"/>
        </w:rPr>
      </w:pPr>
      <w:r>
        <w:rPr>
          <w:rFonts w:ascii="Arial" w:hAnsi="Arial" w:cs="Arial"/>
          <w:sz w:val="20"/>
          <w:szCs w:val="20"/>
          <w:lang w:val="fr-FR"/>
        </w:rPr>
        <w:br/>
        <w:t>Surface</w:t>
      </w:r>
      <w:r>
        <w:rPr>
          <w:rFonts w:ascii="Arial" w:hAnsi="Arial" w:cs="Arial"/>
          <w:sz w:val="20"/>
          <w:szCs w:val="20"/>
          <w:lang w:val="fr-FR"/>
        </w:rPr>
        <w:br/>
        <w:t xml:space="preserve">Revêtement par poudre de toutes les pièces en acier galvanisé dans une couleur conforme à RAL __________ </w:t>
      </w:r>
      <w:r>
        <w:rPr>
          <w:rFonts w:ascii="Arial" w:hAnsi="Arial" w:cs="Arial"/>
          <w:sz w:val="20"/>
          <w:szCs w:val="20"/>
          <w:lang w:val="fr-FR"/>
        </w:rPr>
        <w:br/>
        <w:t>(les couleurs métalliques ne sont pas disponibles)</w:t>
      </w:r>
      <w:r>
        <w:rPr>
          <w:rFonts w:ascii="Arial" w:hAnsi="Arial" w:cs="Arial"/>
          <w:sz w:val="20"/>
          <w:szCs w:val="20"/>
          <w:lang w:val="fr-FR"/>
        </w:rPr>
        <w:br/>
      </w:r>
      <w:r>
        <w:rPr>
          <w:rFonts w:ascii="Arial" w:hAnsi="Arial" w:cs="Arial"/>
          <w:sz w:val="20"/>
          <w:szCs w:val="20"/>
          <w:lang w:val="fr-FR"/>
        </w:rPr>
        <w:br/>
        <w:t>ou</w:t>
      </w:r>
      <w:r>
        <w:rPr>
          <w:rFonts w:ascii="Arial" w:hAnsi="Arial" w:cs="Arial"/>
          <w:sz w:val="20"/>
          <w:szCs w:val="20"/>
          <w:lang w:val="fr-FR"/>
        </w:rPr>
        <w:br/>
      </w:r>
      <w:r>
        <w:rPr>
          <w:rFonts w:ascii="Arial" w:hAnsi="Arial" w:cs="Arial"/>
          <w:sz w:val="20"/>
          <w:szCs w:val="20"/>
          <w:lang w:val="fr-FR"/>
        </w:rPr>
        <w:lastRenderedPageBreak/>
        <w:br/>
        <w:t>Version en acier inoxydable (V2A) de toutes les pièces en acier visibles, surface visible polie, grosseur 220,</w:t>
      </w:r>
      <w:r>
        <w:rPr>
          <w:rFonts w:ascii="Arial" w:hAnsi="Arial" w:cs="Arial"/>
          <w:sz w:val="20"/>
          <w:szCs w:val="20"/>
          <w:lang w:val="fr-FR"/>
        </w:rPr>
        <w:br/>
        <w:t>y compris l’armoire électrique en V2A, par exemple pour les opérations en milieu humide</w:t>
      </w:r>
    </w:p>
    <w:p w14:paraId="0A73B538" w14:textId="3A09F891" w:rsidR="007138D7" w:rsidRPr="007138D7" w:rsidRDefault="007138D7" w:rsidP="007138D7">
      <w:pPr>
        <w:rPr>
          <w:rFonts w:ascii="Arial" w:hAnsi="Arial" w:cs="Arial"/>
          <w:sz w:val="20"/>
          <w:szCs w:val="20"/>
        </w:rPr>
      </w:pPr>
      <w:r>
        <w:rPr>
          <w:rFonts w:ascii="Arial" w:hAnsi="Arial" w:cs="Arial"/>
          <w:b/>
          <w:bCs/>
          <w:sz w:val="20"/>
          <w:szCs w:val="20"/>
          <w:lang w:val="fr-FR"/>
        </w:rPr>
        <w:t>Dispositif de sécurité alternatif :</w:t>
      </w:r>
      <w:r>
        <w:rPr>
          <w:rFonts w:ascii="Arial" w:hAnsi="Arial" w:cs="Arial"/>
          <w:sz w:val="20"/>
          <w:szCs w:val="20"/>
          <w:lang w:val="fr-FR"/>
        </w:rPr>
        <w:br/>
        <w:t>Supplément pour les systèmes de portes équipés d’une barre palpeuse de sécurité électrique et autocontrôlée au niveau du bouclier d’extrémité au lieu de la barrière photoélectrique de pré-déroulement</w:t>
      </w:r>
      <w:r>
        <w:rPr>
          <w:rFonts w:ascii="Arial" w:hAnsi="Arial" w:cs="Arial"/>
          <w:sz w:val="20"/>
          <w:szCs w:val="20"/>
          <w:lang w:val="fr-FR"/>
        </w:rPr>
        <w:br/>
      </w:r>
      <w:r>
        <w:rPr>
          <w:rFonts w:ascii="Arial" w:hAnsi="Arial" w:cs="Arial"/>
          <w:sz w:val="20"/>
          <w:szCs w:val="20"/>
          <w:lang w:val="fr-FR"/>
        </w:rPr>
        <w:br/>
      </w:r>
      <w:r>
        <w:rPr>
          <w:rFonts w:ascii="Arial" w:hAnsi="Arial" w:cs="Arial"/>
          <w:b/>
          <w:bCs/>
          <w:sz w:val="20"/>
          <w:szCs w:val="20"/>
          <w:lang w:val="fr-FR"/>
        </w:rPr>
        <w:t>Si nécessaire :</w:t>
      </w:r>
      <w:r>
        <w:rPr>
          <w:rFonts w:ascii="Arial" w:hAnsi="Arial" w:cs="Arial"/>
          <w:sz w:val="20"/>
          <w:szCs w:val="20"/>
          <w:lang w:val="fr-FR"/>
        </w:rPr>
        <w:br/>
        <w:t>Arrêt intermédiaire automatique à une hauteur de H = ___________ mm</w:t>
      </w:r>
      <w:r>
        <w:rPr>
          <w:rFonts w:ascii="Arial" w:hAnsi="Arial" w:cs="Arial"/>
          <w:sz w:val="20"/>
          <w:szCs w:val="20"/>
          <w:lang w:val="fr-FR"/>
        </w:rPr>
        <w:br/>
      </w:r>
      <w:r>
        <w:rPr>
          <w:rFonts w:ascii="Arial" w:hAnsi="Arial" w:cs="Arial"/>
          <w:sz w:val="20"/>
          <w:szCs w:val="20"/>
          <w:lang w:val="fr-FR"/>
        </w:rPr>
        <w:br/>
      </w:r>
      <w:r>
        <w:rPr>
          <w:rFonts w:ascii="Arial" w:hAnsi="Arial" w:cs="Arial"/>
          <w:b/>
          <w:bCs/>
          <w:sz w:val="20"/>
          <w:szCs w:val="20"/>
          <w:lang w:val="fr-FR"/>
        </w:rPr>
        <w:t>Options de rideaux :</w:t>
      </w:r>
      <w:r>
        <w:rPr>
          <w:rFonts w:ascii="Arial" w:hAnsi="Arial" w:cs="Arial"/>
          <w:sz w:val="20"/>
          <w:szCs w:val="20"/>
          <w:lang w:val="fr-FR"/>
        </w:rPr>
        <w:br/>
        <w:t>Supplément pour fenêtre transparente en PVC totalement transparent</w:t>
      </w:r>
      <w:r>
        <w:rPr>
          <w:rFonts w:ascii="Arial" w:hAnsi="Arial" w:cs="Arial"/>
          <w:sz w:val="20"/>
          <w:szCs w:val="20"/>
          <w:lang w:val="fr-FR"/>
        </w:rPr>
        <w:br/>
      </w:r>
      <w:r>
        <w:rPr>
          <w:rFonts w:ascii="Arial" w:hAnsi="Arial" w:cs="Arial"/>
          <w:sz w:val="20"/>
          <w:szCs w:val="20"/>
          <w:lang w:val="fr-FR"/>
        </w:rPr>
        <w:br/>
        <w:t>ou</w:t>
      </w:r>
      <w:r>
        <w:rPr>
          <w:rFonts w:ascii="Arial" w:hAnsi="Arial" w:cs="Arial"/>
          <w:sz w:val="20"/>
          <w:szCs w:val="20"/>
          <w:lang w:val="fr-FR"/>
        </w:rPr>
        <w:br/>
      </w:r>
      <w:r>
        <w:rPr>
          <w:rFonts w:ascii="Arial" w:hAnsi="Arial" w:cs="Arial"/>
          <w:sz w:val="20"/>
          <w:szCs w:val="20"/>
          <w:lang w:val="fr-FR"/>
        </w:rPr>
        <w:br/>
        <w:t>Rideau en PVC d’env. 2 mm, Matériau entièrement transparent avec bandes d’avertissement</w:t>
      </w:r>
      <w:r>
        <w:rPr>
          <w:rFonts w:ascii="Arial" w:hAnsi="Arial" w:cs="Arial"/>
          <w:sz w:val="20"/>
          <w:szCs w:val="20"/>
          <w:lang w:val="fr-FR"/>
        </w:rPr>
        <w:br/>
        <w:t>Couleurs : rouge, orange, bleu, jaune</w:t>
      </w:r>
      <w:r>
        <w:rPr>
          <w:rFonts w:ascii="Arial" w:hAnsi="Arial" w:cs="Arial"/>
          <w:sz w:val="20"/>
          <w:szCs w:val="20"/>
          <w:lang w:val="fr-FR"/>
        </w:rPr>
        <w:br/>
      </w:r>
      <w:r>
        <w:rPr>
          <w:rFonts w:ascii="Arial" w:hAnsi="Arial" w:cs="Arial"/>
          <w:sz w:val="20"/>
          <w:szCs w:val="20"/>
          <w:lang w:val="fr-FR"/>
        </w:rPr>
        <w:br/>
        <w:t>ou</w:t>
      </w:r>
      <w:r>
        <w:rPr>
          <w:rFonts w:ascii="Arial" w:hAnsi="Arial" w:cs="Arial"/>
          <w:sz w:val="20"/>
          <w:szCs w:val="20"/>
          <w:lang w:val="fr-FR"/>
        </w:rPr>
        <w:br/>
      </w:r>
      <w:r>
        <w:rPr>
          <w:rFonts w:ascii="Arial" w:hAnsi="Arial" w:cs="Arial"/>
          <w:sz w:val="20"/>
          <w:szCs w:val="20"/>
          <w:lang w:val="fr-FR"/>
        </w:rPr>
        <w:br/>
        <w:t>Fibre de polyester de 2,0 mm d’épaisseur, stable transversalement, approuvée par la FDA</w:t>
      </w:r>
      <w:r>
        <w:rPr>
          <w:rFonts w:ascii="Arial" w:hAnsi="Arial" w:cs="Arial"/>
          <w:sz w:val="20"/>
          <w:szCs w:val="20"/>
          <w:lang w:val="fr-FR"/>
        </w:rPr>
        <w:br/>
        <w:t xml:space="preserve">rouge / orange / jaune : non antistatique, sans silicone </w:t>
      </w:r>
      <w:r>
        <w:rPr>
          <w:rFonts w:ascii="Arial" w:hAnsi="Arial" w:cs="Arial"/>
          <w:sz w:val="20"/>
          <w:szCs w:val="20"/>
          <w:lang w:val="fr-FR"/>
        </w:rPr>
        <w:br/>
        <w:t>bleu / vert mousse / blanc pur / blanc papyrus / gris clair / gris signal / gris anthracite : antistatique, sans silicone,</w:t>
      </w:r>
      <w:r>
        <w:rPr>
          <w:rFonts w:ascii="Arial" w:hAnsi="Arial" w:cs="Arial"/>
          <w:sz w:val="20"/>
          <w:szCs w:val="20"/>
          <w:lang w:val="fr-FR"/>
        </w:rPr>
        <w:br/>
      </w:r>
      <w:r>
        <w:rPr>
          <w:rFonts w:ascii="Arial" w:hAnsi="Arial" w:cs="Arial"/>
          <w:sz w:val="20"/>
          <w:szCs w:val="20"/>
          <w:lang w:val="fr-FR"/>
        </w:rPr>
        <w:br/>
        <w:t>comme ci-dessus, mais</w:t>
      </w:r>
      <w:r>
        <w:rPr>
          <w:rFonts w:ascii="Arial" w:hAnsi="Arial" w:cs="Arial"/>
          <w:sz w:val="20"/>
          <w:szCs w:val="20"/>
          <w:lang w:val="fr-FR"/>
        </w:rPr>
        <w:br/>
      </w:r>
      <w:r>
        <w:rPr>
          <w:rFonts w:ascii="Arial" w:hAnsi="Arial" w:cs="Arial"/>
          <w:sz w:val="20"/>
          <w:szCs w:val="20"/>
          <w:lang w:val="fr-FR"/>
        </w:rPr>
        <w:br/>
        <w:t>avec fenêtre transparente en PVC totalement transparent</w:t>
      </w:r>
      <w:r>
        <w:rPr>
          <w:rFonts w:ascii="Arial" w:hAnsi="Arial" w:cs="Arial"/>
          <w:sz w:val="20"/>
          <w:szCs w:val="20"/>
          <w:lang w:val="fr-FR"/>
        </w:rPr>
        <w:br/>
        <w:t xml:space="preserve">(dans le cas d’un rideau de porte avec fenêtre seulement partiellement antistatique et partiellement </w:t>
      </w:r>
      <w:r>
        <w:rPr>
          <w:rFonts w:ascii="Arial" w:hAnsi="Arial" w:cs="Arial"/>
          <w:sz w:val="20"/>
          <w:szCs w:val="20"/>
          <w:lang w:val="fr-FR"/>
        </w:rPr>
        <w:br/>
        <w:t>approuvé pour l’industrie alimentaire)</w:t>
      </w:r>
    </w:p>
    <w:p w14:paraId="6FAC5839" w14:textId="5ECE3662" w:rsidR="000B2019" w:rsidRPr="007138D7" w:rsidRDefault="000B2019" w:rsidP="007138D7"/>
    <w:sectPr w:rsidR="000B2019" w:rsidRPr="007138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019"/>
    <w:rsid w:val="000B2019"/>
    <w:rsid w:val="00332AA3"/>
    <w:rsid w:val="003A57FE"/>
    <w:rsid w:val="0042261C"/>
    <w:rsid w:val="006241FE"/>
    <w:rsid w:val="007138D7"/>
    <w:rsid w:val="007728B3"/>
    <w:rsid w:val="00B1644E"/>
    <w:rsid w:val="00C31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1C68F"/>
  <w15:chartTrackingRefBased/>
  <w15:docId w15:val="{0646847F-E0B2-4CD6-8612-A6B5D7BF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57FE"/>
    <w:rPr>
      <w:color w:val="0563C1" w:themeColor="hyperlink"/>
      <w:u w:val="single"/>
    </w:rPr>
  </w:style>
  <w:style w:type="character" w:styleId="NichtaufgelsteErwhnung">
    <w:name w:val="Unresolved Mention"/>
    <w:basedOn w:val="Absatz-Standardschriftart"/>
    <w:uiPriority w:val="99"/>
    <w:semiHidden/>
    <w:unhideWhenUsed/>
    <w:rsid w:val="003A57FE"/>
    <w:rPr>
      <w:color w:val="605E5C"/>
      <w:shd w:val="clear" w:color="auto" w:fill="E1DFDD"/>
    </w:rPr>
  </w:style>
  <w:style w:type="paragraph" w:styleId="KeinLeerraum">
    <w:name w:val="No Spacing"/>
    <w:uiPriority w:val="1"/>
    <w:qFormat/>
    <w:rsid w:val="00332AA3"/>
    <w:pPr>
      <w:spacing w:after="0" w:line="240" w:lineRule="auto"/>
    </w:pPr>
  </w:style>
  <w:style w:type="table" w:styleId="Tabellenraster">
    <w:name w:val="Table Grid"/>
    <w:basedOn w:val="NormaleTabelle"/>
    <w:uiPriority w:val="39"/>
    <w:rsid w:val="00C312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000284">
      <w:bodyDiv w:val="1"/>
      <w:marLeft w:val="0"/>
      <w:marRight w:val="0"/>
      <w:marTop w:val="0"/>
      <w:marBottom w:val="0"/>
      <w:divBdr>
        <w:top w:val="none" w:sz="0" w:space="0" w:color="auto"/>
        <w:left w:val="none" w:sz="0" w:space="0" w:color="auto"/>
        <w:bottom w:val="none" w:sz="0" w:space="0" w:color="auto"/>
        <w:right w:val="none" w:sz="0" w:space="0" w:color="auto"/>
      </w:divBdr>
    </w:div>
    <w:div w:id="206938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3131</Characters>
  <Application>Microsoft Office Word</Application>
  <DocSecurity>0</DocSecurity>
  <Lines>26</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Richter, Corina</cp:lastModifiedBy>
  <cp:revision>6</cp:revision>
  <dcterms:created xsi:type="dcterms:W3CDTF">2023-03-02T08:54:00Z</dcterms:created>
  <dcterms:modified xsi:type="dcterms:W3CDTF">2023-04-28T07:51:00Z</dcterms:modified>
</cp:coreProperties>
</file>