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959E1" w14:textId="165162E6" w:rsidR="00FA041A" w:rsidRDefault="00FA041A" w:rsidP="00FA0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  <w:lang w:val="fr-FR"/>
        </w:rPr>
        <w:t>PORTE RAPIDE À ENROULEMENT</w:t>
      </w:r>
      <w:r>
        <w:rPr>
          <w:rFonts w:ascii="Arial" w:hAnsi="Arial" w:cs="Arial"/>
          <w:b/>
          <w:bCs/>
          <w:sz w:val="20"/>
          <w:szCs w:val="20"/>
          <w:lang w:val="fr-FR"/>
        </w:rPr>
        <w:t>, type « EFA-SRT®</w:t>
      </w:r>
      <w:r>
        <w:rPr>
          <w:rFonts w:ascii="Arial" w:hAnsi="Arial" w:cs="Arial"/>
          <w:b/>
          <w:bCs/>
          <w:sz w:val="20"/>
          <w:szCs w:val="20"/>
          <w:vertAlign w:val="superscript"/>
          <w:lang w:val="fr-FR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fr-FR"/>
        </w:rPr>
        <w:t>FR »</w:t>
      </w:r>
    </w:p>
    <w:p w14:paraId="3E056489" w14:textId="77777777" w:rsidR="00FA041A" w:rsidRDefault="00FA041A" w:rsidP="00FA0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1F1159" w14:textId="252AFE33" w:rsidR="00FA041A" w:rsidRDefault="00FA041A" w:rsidP="00FA0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FR"/>
        </w:rPr>
        <w:t>Fabrication, livraison et montage de :</w:t>
      </w:r>
    </w:p>
    <w:p w14:paraId="7D66A5DE" w14:textId="77777777" w:rsidR="00FA041A" w:rsidRDefault="00FA041A" w:rsidP="00FA0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27897F" w14:textId="00179ED1" w:rsidR="00FA041A" w:rsidRDefault="00FA041A" w:rsidP="00FA0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FR"/>
        </w:rPr>
        <w:t xml:space="preserve">La porte rapide à enroulement de type </w:t>
      </w:r>
      <w:r>
        <w:rPr>
          <w:rFonts w:ascii="Arial" w:hAnsi="Arial" w:cs="Arial"/>
          <w:b/>
          <w:bCs/>
          <w:sz w:val="20"/>
          <w:szCs w:val="20"/>
          <w:lang w:val="fr-FR"/>
        </w:rPr>
        <w:t>« EFA-SRT® FR »</w:t>
      </w:r>
      <w:r>
        <w:rPr>
          <w:rFonts w:ascii="Arial" w:hAnsi="Arial" w:cs="Arial"/>
          <w:sz w:val="20"/>
          <w:szCs w:val="20"/>
          <w:lang w:val="fr-FR"/>
        </w:rPr>
        <w:t xml:space="preserve"> présente toutes les caractéristiques de base d’une technique de porte moderne, comme une </w:t>
      </w:r>
      <w:r>
        <w:rPr>
          <w:rFonts w:ascii="Arial" w:hAnsi="Arial" w:cs="Arial"/>
          <w:b/>
          <w:bCs/>
          <w:sz w:val="20"/>
          <w:szCs w:val="20"/>
          <w:lang w:val="fr-FR"/>
        </w:rPr>
        <w:t>tension dynamique du tablier et un dispositif de contre-traction</w:t>
      </w:r>
      <w:r>
        <w:rPr>
          <w:rFonts w:ascii="Arial" w:hAnsi="Arial" w:cs="Arial"/>
          <w:sz w:val="20"/>
          <w:szCs w:val="20"/>
          <w:lang w:val="fr-FR"/>
        </w:rPr>
        <w:t xml:space="preserve"> par ressorts. Le tablier de porte est constitué en standard d’un tablier PVC transparent d’environ 2 mm d’épaisseur, avec des bandes d’avertissement et des protections contre le vent.</w:t>
      </w:r>
    </w:p>
    <w:p w14:paraId="253458D2" w14:textId="6440402A" w:rsidR="00FA041A" w:rsidRDefault="00FA041A" w:rsidP="00FA0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E1E42CA" w14:textId="77777777" w:rsidR="00FA041A" w:rsidRDefault="00FA041A" w:rsidP="00FA0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FR"/>
        </w:rPr>
        <w:t xml:space="preserve">Les </w:t>
      </w:r>
      <w:r>
        <w:rPr>
          <w:rFonts w:ascii="Arial" w:hAnsi="Arial" w:cs="Arial"/>
          <w:b/>
          <w:bCs/>
          <w:sz w:val="20"/>
          <w:szCs w:val="20"/>
          <w:lang w:val="fr-FR"/>
        </w:rPr>
        <w:t>dispositifs supplémentaires</w:t>
      </w:r>
      <w:r>
        <w:rPr>
          <w:rFonts w:ascii="Arial" w:hAnsi="Arial" w:cs="Arial"/>
          <w:sz w:val="20"/>
          <w:szCs w:val="20"/>
          <w:lang w:val="fr-FR"/>
        </w:rPr>
        <w:t xml:space="preserve"> correspondants, comme un </w:t>
      </w:r>
      <w:r>
        <w:rPr>
          <w:rFonts w:ascii="Arial" w:hAnsi="Arial" w:cs="Arial"/>
          <w:b/>
          <w:bCs/>
          <w:sz w:val="20"/>
          <w:szCs w:val="20"/>
          <w:lang w:val="fr-FR"/>
        </w:rPr>
        <w:t xml:space="preserve">détecteur de mouvement dans la direction d’évacuation </w:t>
      </w:r>
      <w:r>
        <w:rPr>
          <w:rFonts w:ascii="Arial" w:hAnsi="Arial" w:cs="Arial"/>
          <w:sz w:val="20"/>
          <w:szCs w:val="20"/>
          <w:lang w:val="fr-FR"/>
        </w:rPr>
        <w:t xml:space="preserve">et </w:t>
      </w:r>
      <w:r>
        <w:rPr>
          <w:rFonts w:ascii="Arial" w:hAnsi="Arial" w:cs="Arial"/>
          <w:b/>
          <w:bCs/>
          <w:sz w:val="20"/>
          <w:szCs w:val="20"/>
          <w:lang w:val="fr-FR"/>
        </w:rPr>
        <w:t>un frein de courant de travail, qui sont inclus</w:t>
      </w:r>
      <w:r>
        <w:rPr>
          <w:rFonts w:ascii="Arial" w:hAnsi="Arial" w:cs="Arial"/>
          <w:sz w:val="20"/>
          <w:szCs w:val="20"/>
          <w:lang w:val="fr-FR"/>
        </w:rPr>
        <w:t>, permettent d’</w:t>
      </w:r>
      <w:r>
        <w:rPr>
          <w:rFonts w:ascii="Arial" w:hAnsi="Arial" w:cs="Arial"/>
          <w:b/>
          <w:bCs/>
          <w:sz w:val="20"/>
          <w:szCs w:val="20"/>
          <w:lang w:val="fr-FR"/>
        </w:rPr>
        <w:t>utiliser la porte dans les voies d’évacuation et de secours</w:t>
      </w:r>
      <w:r>
        <w:rPr>
          <w:rFonts w:ascii="Arial" w:hAnsi="Arial" w:cs="Arial"/>
          <w:sz w:val="20"/>
          <w:szCs w:val="20"/>
          <w:lang w:val="fr-FR"/>
        </w:rPr>
        <w:t xml:space="preserve">. Un </w:t>
      </w:r>
      <w:r>
        <w:rPr>
          <w:rFonts w:ascii="Arial" w:hAnsi="Arial" w:cs="Arial"/>
          <w:b/>
          <w:bCs/>
          <w:sz w:val="20"/>
          <w:szCs w:val="20"/>
          <w:lang w:val="fr-FR"/>
        </w:rPr>
        <w:t>certificat TÜV</w:t>
      </w:r>
      <w:r>
        <w:rPr>
          <w:rFonts w:ascii="Arial" w:hAnsi="Arial" w:cs="Arial"/>
          <w:sz w:val="20"/>
          <w:szCs w:val="20"/>
          <w:lang w:val="fr-FR"/>
        </w:rPr>
        <w:t xml:space="preserve"> correspondant permet une </w:t>
      </w:r>
      <w:r>
        <w:rPr>
          <w:rFonts w:ascii="Arial" w:hAnsi="Arial" w:cs="Arial"/>
          <w:b/>
          <w:bCs/>
          <w:sz w:val="20"/>
          <w:szCs w:val="20"/>
          <w:lang w:val="fr-FR"/>
        </w:rPr>
        <w:t>réception individuelle sans problème</w:t>
      </w:r>
      <w:r>
        <w:rPr>
          <w:rFonts w:ascii="Arial" w:hAnsi="Arial" w:cs="Arial"/>
          <w:sz w:val="20"/>
          <w:szCs w:val="20"/>
          <w:lang w:val="fr-FR"/>
        </w:rPr>
        <w:t xml:space="preserve"> par l’autorité compétente !</w:t>
      </w:r>
    </w:p>
    <w:p w14:paraId="2EB25015" w14:textId="77777777" w:rsidR="00FA041A" w:rsidRDefault="00FA041A" w:rsidP="00FA0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B96FEC" w14:textId="4407997C" w:rsidR="00FA041A" w:rsidRDefault="00FA041A" w:rsidP="00FA0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7DF146" w14:textId="777383A4" w:rsidR="00FA041A" w:rsidRPr="00FA041A" w:rsidRDefault="00FA041A" w:rsidP="000D2B9D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fr-FR"/>
        </w:rPr>
        <w:t>VITESSE D’OUVERTURE :</w:t>
      </w:r>
      <w:r>
        <w:rPr>
          <w:rFonts w:ascii="Arial" w:hAnsi="Arial" w:cs="Arial"/>
          <w:b/>
          <w:bCs/>
          <w:sz w:val="20"/>
          <w:szCs w:val="20"/>
          <w:lang w:val="fr-FR"/>
        </w:rPr>
        <w:tab/>
        <w:t>jusqu’à env. 1,6 m/sec.</w:t>
      </w:r>
    </w:p>
    <w:p w14:paraId="169DF4C1" w14:textId="4ACDA392" w:rsidR="00FA041A" w:rsidRDefault="00FA041A" w:rsidP="000D2B9D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fr-FR"/>
        </w:rPr>
        <w:t xml:space="preserve">VITESSE DE TABLIER max. : </w:t>
      </w:r>
      <w:r>
        <w:rPr>
          <w:rFonts w:ascii="Arial" w:hAnsi="Arial" w:cs="Arial"/>
          <w:b/>
          <w:bCs/>
          <w:sz w:val="20"/>
          <w:szCs w:val="20"/>
          <w:lang w:val="fr-FR"/>
        </w:rPr>
        <w:tab/>
        <w:t>jusqu’à 2,0 m/s</w:t>
      </w:r>
    </w:p>
    <w:p w14:paraId="41B0904E" w14:textId="0EA47050" w:rsidR="00FA041A" w:rsidRPr="00FA041A" w:rsidRDefault="00FA041A" w:rsidP="000D2B9D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FR"/>
        </w:rPr>
        <w:tab/>
        <w:t>(en fonction de la taille de la porte)</w:t>
      </w:r>
    </w:p>
    <w:p w14:paraId="57D485D4" w14:textId="55755C57" w:rsidR="00FA041A" w:rsidRDefault="00FA041A" w:rsidP="000D2B9D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fr-FR"/>
        </w:rPr>
        <w:t>VITESSE DE FERMETURE :</w:t>
      </w:r>
      <w:r>
        <w:rPr>
          <w:rFonts w:ascii="Arial" w:hAnsi="Arial" w:cs="Arial"/>
          <w:b/>
          <w:bCs/>
          <w:sz w:val="20"/>
          <w:szCs w:val="20"/>
          <w:lang w:val="fr-FR"/>
        </w:rPr>
        <w:tab/>
        <w:t>jusqu’à env. 0,75 m/sec.</w:t>
      </w:r>
    </w:p>
    <w:p w14:paraId="7298017C" w14:textId="5C0BA791" w:rsidR="00FA041A" w:rsidRDefault="00FA041A" w:rsidP="00FA0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622E45" w14:textId="16B93377" w:rsidR="00FA041A" w:rsidRPr="00FA041A" w:rsidRDefault="00FA041A" w:rsidP="00FA041A">
      <w:pPr>
        <w:ind w:right="17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lang w:val="fr-FR"/>
        </w:rPr>
        <w:t xml:space="preserve">La </w:t>
      </w:r>
      <w:r>
        <w:rPr>
          <w:rFonts w:ascii="Arial" w:hAnsi="Arial"/>
          <w:b/>
          <w:bCs/>
          <w:sz w:val="20"/>
          <w:szCs w:val="20"/>
          <w:lang w:val="fr-FR"/>
        </w:rPr>
        <w:t xml:space="preserve">COMMANDE DE MICROPROCESSEUR </w:t>
      </w:r>
      <w:r>
        <w:rPr>
          <w:rFonts w:ascii="Arial" w:hAnsi="Arial"/>
          <w:sz w:val="20"/>
          <w:szCs w:val="20"/>
          <w:lang w:val="fr-FR"/>
        </w:rPr>
        <w:t>est insérée avec le variateur de fréquence intégré dans une armoire en plastique séparée, type de protection IP 65. Branchement électrique 230 V / 50 Hz sur place.</w:t>
      </w:r>
    </w:p>
    <w:p w14:paraId="695E8C33" w14:textId="0AF65EA2" w:rsidR="00FA041A" w:rsidRPr="00FA041A" w:rsidRDefault="00FA041A" w:rsidP="00FA041A">
      <w:pPr>
        <w:ind w:right="17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lang w:val="fr-FR"/>
        </w:rPr>
        <w:t xml:space="preserve">Une </w:t>
      </w:r>
      <w:r>
        <w:rPr>
          <w:rFonts w:ascii="Arial" w:hAnsi="Arial"/>
          <w:b/>
          <w:bCs/>
          <w:sz w:val="20"/>
          <w:szCs w:val="20"/>
          <w:lang w:val="fr-FR"/>
        </w:rPr>
        <w:t>barre palpeuse de sécurité</w:t>
      </w:r>
      <w:r>
        <w:rPr>
          <w:rFonts w:ascii="Arial" w:hAnsi="Arial"/>
          <w:sz w:val="20"/>
          <w:szCs w:val="20"/>
          <w:lang w:val="fr-FR"/>
        </w:rPr>
        <w:t xml:space="preserve"> électrique autocontrôlée selon la norme DIN EN 12453 est comprise dans la livraison : Le câble d’alimentation doit être inséré de manière protégée dans une chaîne énergétique à l’intérieur du montant de porte.</w:t>
      </w:r>
    </w:p>
    <w:p w14:paraId="6B355F4F" w14:textId="70BEEFC6" w:rsidR="00FA041A" w:rsidRDefault="00FA041A" w:rsidP="00FA041A">
      <w:pPr>
        <w:ind w:right="17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lang w:val="fr-FR"/>
        </w:rPr>
        <w:t>Les règlements selon la norme DIN EN 13241-1 sont respectés ;</w:t>
      </w:r>
    </w:p>
    <w:p w14:paraId="680172C4" w14:textId="77777777" w:rsidR="00654531" w:rsidRPr="00FA041A" w:rsidRDefault="00654531" w:rsidP="00FA041A">
      <w:pPr>
        <w:ind w:right="170"/>
        <w:jc w:val="both"/>
        <w:rPr>
          <w:rFonts w:ascii="Arial" w:hAnsi="Arial"/>
          <w:sz w:val="20"/>
          <w:szCs w:val="20"/>
        </w:rPr>
      </w:pPr>
    </w:p>
    <w:p w14:paraId="198776DF" w14:textId="77777777" w:rsidR="00654531" w:rsidRPr="00654531" w:rsidRDefault="00654531" w:rsidP="00654531">
      <w:pPr>
        <w:ind w:right="17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lang w:val="fr-FR"/>
        </w:rPr>
        <w:t>ouverture de passage libre</w:t>
      </w:r>
    </w:p>
    <w:p w14:paraId="7CE80613" w14:textId="77777777" w:rsidR="00654531" w:rsidRPr="00654531" w:rsidRDefault="00654531" w:rsidP="00654531">
      <w:pPr>
        <w:ind w:right="170"/>
        <w:jc w:val="both"/>
        <w:rPr>
          <w:rFonts w:ascii="Arial" w:hAnsi="Arial"/>
          <w:sz w:val="20"/>
          <w:szCs w:val="20"/>
        </w:rPr>
      </w:pPr>
    </w:p>
    <w:p w14:paraId="6C3E0887" w14:textId="77777777" w:rsidR="00654531" w:rsidRPr="00654531" w:rsidRDefault="00654531" w:rsidP="00654531">
      <w:pPr>
        <w:ind w:right="17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lang w:val="fr-FR"/>
        </w:rPr>
        <w:t>Largeur = ............... mm  x  Hauteur = ............... mm</w:t>
      </w:r>
    </w:p>
    <w:p w14:paraId="22DA062D" w14:textId="77777777" w:rsidR="00654531" w:rsidRPr="00654531" w:rsidRDefault="00654531" w:rsidP="00654531">
      <w:pPr>
        <w:ind w:right="170"/>
        <w:jc w:val="both"/>
        <w:rPr>
          <w:rFonts w:ascii="Arial" w:hAnsi="Arial"/>
          <w:sz w:val="20"/>
          <w:szCs w:val="20"/>
        </w:rPr>
      </w:pPr>
    </w:p>
    <w:p w14:paraId="212BABD0" w14:textId="77777777" w:rsidR="00654531" w:rsidRPr="00654531" w:rsidRDefault="00654531" w:rsidP="00654531">
      <w:pPr>
        <w:ind w:right="170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lang w:val="fr-FR"/>
        </w:rPr>
        <w:t>Références du fabricant :</w:t>
      </w:r>
    </w:p>
    <w:p w14:paraId="236B1EA2" w14:textId="77777777" w:rsidR="00654531" w:rsidRPr="00654531" w:rsidRDefault="00654531" w:rsidP="00654531">
      <w:pPr>
        <w:ind w:right="17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lang w:val="fr-FR"/>
        </w:rPr>
        <w:t>EFAFLEX Tor- und Sicherheitssysteme GmbH &amp; Co. KG</w:t>
      </w:r>
    </w:p>
    <w:p w14:paraId="5F82FF0C" w14:textId="77777777" w:rsidR="00654531" w:rsidRPr="00654531" w:rsidRDefault="00654531" w:rsidP="00654531">
      <w:pPr>
        <w:ind w:right="17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lang w:val="fr-FR"/>
        </w:rPr>
        <w:t>www.efaflex.com</w:t>
      </w:r>
    </w:p>
    <w:p w14:paraId="24EECDEB" w14:textId="30DD5A86" w:rsidR="00FA041A" w:rsidRDefault="00FA041A" w:rsidP="00FA0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2FF9E9" w14:textId="77777777" w:rsidR="00E12E8F" w:rsidRPr="00E12E8F" w:rsidRDefault="00E12E8F" w:rsidP="00E12E8F">
      <w:pPr>
        <w:ind w:right="169"/>
        <w:jc w:val="both"/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  <w:lang w:val="fr-FR"/>
        </w:rPr>
        <w:t>OPTIONS pour porte rapide à enroulement « EFA-SRT</w:t>
      </w:r>
      <w:r>
        <w:rPr>
          <w:rFonts w:ascii="Arial" w:hAnsi="Arial"/>
          <w:b/>
          <w:bCs/>
          <w:sz w:val="20"/>
          <w:szCs w:val="20"/>
          <w:u w:val="single"/>
          <w:vertAlign w:val="superscript"/>
          <w:lang w:val="fr-FR"/>
        </w:rPr>
        <w:t>®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>-ECO »</w:t>
      </w:r>
    </w:p>
    <w:p w14:paraId="57CF8FD5" w14:textId="77777777" w:rsidR="00931E83" w:rsidRDefault="00931E83" w:rsidP="00931E83">
      <w:pPr>
        <w:ind w:right="57"/>
        <w:jc w:val="both"/>
        <w:rPr>
          <w:rFonts w:ascii="Arial" w:hAnsi="Arial"/>
          <w:b/>
          <w:sz w:val="20"/>
          <w:szCs w:val="20"/>
          <w:u w:val="single"/>
        </w:rPr>
      </w:pPr>
    </w:p>
    <w:p w14:paraId="3FDA689F" w14:textId="4A05B3CD" w:rsidR="00E12E8F" w:rsidRPr="00E12E8F" w:rsidRDefault="00E12E8F" w:rsidP="00931E83">
      <w:pPr>
        <w:ind w:right="57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lang w:val="fr-FR"/>
        </w:rPr>
        <w:t>Habillage de l’arbre d’enroulement / moteur :</w:t>
      </w:r>
    </w:p>
    <w:p w14:paraId="2FDF4D76" w14:textId="77777777" w:rsidR="00931E83" w:rsidRDefault="00E12E8F" w:rsidP="00931E83">
      <w:pPr>
        <w:ind w:right="57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lang w:val="fr-FR"/>
        </w:rPr>
        <w:t>Capot du moteur</w:t>
      </w:r>
    </w:p>
    <w:p w14:paraId="5DC522B3" w14:textId="00EA1975" w:rsidR="00E12E8F" w:rsidRPr="00E12E8F" w:rsidRDefault="00E12E8F" w:rsidP="00931E83">
      <w:pPr>
        <w:ind w:right="57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lang w:val="fr-FR"/>
        </w:rPr>
        <w:t>Capotage complet par le moteur et l’arbre</w:t>
      </w:r>
    </w:p>
    <w:p w14:paraId="5FFEB7C0" w14:textId="77777777" w:rsidR="00E12E8F" w:rsidRPr="00E12E8F" w:rsidRDefault="00E12E8F" w:rsidP="00E12E8F">
      <w:pPr>
        <w:ind w:right="169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lang w:val="fr-FR"/>
        </w:rPr>
        <w:t>Surface :</w:t>
      </w:r>
    </w:p>
    <w:p w14:paraId="1D453566" w14:textId="77777777" w:rsidR="00E12E8F" w:rsidRPr="00E12E8F" w:rsidRDefault="00E12E8F" w:rsidP="00E12E8F">
      <w:pPr>
        <w:ind w:right="16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lang w:val="fr-FR"/>
        </w:rPr>
        <w:t xml:space="preserve">Revêtement en poudre de toutes les pièces en acier galvanisées dans une couleur selon RAL __________     (des couleurs métallisées </w:t>
      </w:r>
      <w:r>
        <w:rPr>
          <w:rFonts w:ascii="Arial" w:hAnsi="Arial"/>
          <w:sz w:val="20"/>
          <w:szCs w:val="20"/>
          <w:u w:val="single"/>
          <w:lang w:val="fr-FR"/>
        </w:rPr>
        <w:t>ne</w:t>
      </w:r>
      <w:r>
        <w:rPr>
          <w:rFonts w:ascii="Arial" w:hAnsi="Arial"/>
          <w:sz w:val="20"/>
          <w:szCs w:val="20"/>
          <w:lang w:val="fr-FR"/>
        </w:rPr>
        <w:t xml:space="preserve"> sont </w:t>
      </w:r>
      <w:r>
        <w:rPr>
          <w:rFonts w:ascii="Arial" w:hAnsi="Arial"/>
          <w:sz w:val="20"/>
          <w:szCs w:val="20"/>
          <w:u w:val="single"/>
          <w:lang w:val="fr-FR"/>
        </w:rPr>
        <w:t>pas</w:t>
      </w:r>
      <w:r>
        <w:rPr>
          <w:rFonts w:ascii="Arial" w:hAnsi="Arial"/>
          <w:sz w:val="20"/>
          <w:szCs w:val="20"/>
          <w:lang w:val="fr-FR"/>
        </w:rPr>
        <w:t xml:space="preserve"> disponibles)</w:t>
      </w:r>
    </w:p>
    <w:p w14:paraId="3C956046" w14:textId="77777777" w:rsidR="00E12E8F" w:rsidRPr="00E12E8F" w:rsidRDefault="00E12E8F" w:rsidP="00E12E8F">
      <w:pPr>
        <w:ind w:right="16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fr-FR"/>
        </w:rPr>
        <w:t>ou</w:t>
      </w:r>
    </w:p>
    <w:p w14:paraId="26656B1F" w14:textId="77777777" w:rsidR="00931E83" w:rsidRDefault="00E12E8F" w:rsidP="00E12E8F">
      <w:pPr>
        <w:ind w:right="169"/>
        <w:jc w:val="both"/>
        <w:rPr>
          <w:rFonts w:ascii="Arial" w:hAnsi="Arial" w:cs="Arial"/>
          <w:spacing w:val="-4"/>
          <w:sz w:val="20"/>
          <w:szCs w:val="20"/>
        </w:rPr>
      </w:pPr>
      <w:r>
        <w:rPr>
          <w:rFonts w:ascii="Arial" w:hAnsi="Arial" w:cs="Arial"/>
          <w:sz w:val="20"/>
          <w:szCs w:val="20"/>
          <w:lang w:val="fr-FR"/>
        </w:rPr>
        <w:lastRenderedPageBreak/>
        <w:t>Réalisation en acier inoxydable (V2A) de toutes les pièces visibles en acier, surface visible poncée, granulométrie 220,</w:t>
      </w:r>
    </w:p>
    <w:p w14:paraId="204D9B5D" w14:textId="5E4C0B96" w:rsidR="00E12E8F" w:rsidRPr="00931E83" w:rsidRDefault="00E12E8F" w:rsidP="00E12E8F">
      <w:pPr>
        <w:ind w:right="169"/>
        <w:jc w:val="both"/>
        <w:rPr>
          <w:rFonts w:ascii="Arial" w:hAnsi="Arial" w:cs="Arial"/>
          <w:spacing w:val="-4"/>
          <w:sz w:val="20"/>
          <w:szCs w:val="20"/>
        </w:rPr>
      </w:pPr>
      <w:r>
        <w:rPr>
          <w:rFonts w:ascii="Arial" w:hAnsi="Arial"/>
          <w:sz w:val="20"/>
          <w:szCs w:val="20"/>
          <w:lang w:val="fr-FR"/>
        </w:rPr>
        <w:t>incl. armoire électrique en V2A, p. ex. pour l’usage en milieu humide</w:t>
      </w:r>
    </w:p>
    <w:p w14:paraId="69E5590B" w14:textId="77777777" w:rsidR="00E12E8F" w:rsidRPr="00E12E8F" w:rsidRDefault="00E12E8F" w:rsidP="00E12E8F">
      <w:pPr>
        <w:pStyle w:val="Blocktext"/>
        <w:ind w:left="0"/>
        <w:rPr>
          <w:rFonts w:cs="Arial"/>
          <w:b/>
        </w:rPr>
      </w:pPr>
      <w:r>
        <w:rPr>
          <w:rFonts w:cs="Arial"/>
          <w:b/>
          <w:bCs/>
          <w:lang w:val="fr-FR"/>
        </w:rPr>
        <w:t>Système de sécurité alternatif :</w:t>
      </w:r>
    </w:p>
    <w:p w14:paraId="1E95DBF5" w14:textId="77777777" w:rsidR="00E12E8F" w:rsidRPr="00E12E8F" w:rsidRDefault="00E12E8F" w:rsidP="00E12E8F">
      <w:pPr>
        <w:ind w:right="1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FR"/>
        </w:rPr>
        <w:t xml:space="preserve">Supplément pour </w:t>
      </w:r>
      <w:r>
        <w:rPr>
          <w:rFonts w:ascii="Arial" w:hAnsi="Arial" w:cs="Arial"/>
          <w:b/>
          <w:bCs/>
          <w:sz w:val="20"/>
          <w:szCs w:val="20"/>
          <w:lang w:val="fr-FR"/>
        </w:rPr>
        <w:t>BARRIÈRE LUMINEUSE DE PORTE</w:t>
      </w:r>
      <w:r>
        <w:rPr>
          <w:rFonts w:ascii="Arial" w:hAnsi="Arial" w:cs="Arial"/>
          <w:sz w:val="20"/>
          <w:szCs w:val="20"/>
          <w:lang w:val="fr-FR"/>
        </w:rPr>
        <w:t xml:space="preserve"> autocontrôlée et certifiée par le TÜV (EFA-TLG</w:t>
      </w:r>
      <w:r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>
        <w:rPr>
          <w:rFonts w:ascii="Arial" w:hAnsi="Arial" w:cs="Arial"/>
          <w:sz w:val="20"/>
          <w:szCs w:val="20"/>
          <w:lang w:val="fr-FR"/>
        </w:rPr>
        <w:t xml:space="preserve">), intégrée de manière parfaitement protégée dans les montants latéraux de la porte. La barrière lumineuse agit </w:t>
      </w:r>
      <w:r>
        <w:rPr>
          <w:rFonts w:ascii="Arial" w:hAnsi="Arial" w:cs="Arial"/>
          <w:sz w:val="20"/>
          <w:szCs w:val="20"/>
          <w:u w:val="single"/>
          <w:lang w:val="fr-FR"/>
        </w:rPr>
        <w:t>directement</w:t>
      </w:r>
      <w:r>
        <w:rPr>
          <w:rFonts w:ascii="Arial" w:hAnsi="Arial" w:cs="Arial"/>
          <w:sz w:val="20"/>
          <w:szCs w:val="20"/>
          <w:lang w:val="fr-FR"/>
        </w:rPr>
        <w:t xml:space="preserve"> au niveau de la fermeture de porte et génère un </w:t>
      </w:r>
      <w:r>
        <w:rPr>
          <w:rFonts w:ascii="Arial" w:hAnsi="Arial" w:cs="Arial"/>
          <w:sz w:val="20"/>
          <w:szCs w:val="20"/>
          <w:u w:val="single"/>
          <w:lang w:val="fr-FR"/>
        </w:rPr>
        <w:t>rideau lumineux infrarouge</w:t>
      </w:r>
      <w:r>
        <w:rPr>
          <w:rFonts w:ascii="Arial" w:hAnsi="Arial" w:cs="Arial"/>
          <w:sz w:val="20"/>
          <w:szCs w:val="20"/>
          <w:lang w:val="fr-FR"/>
        </w:rPr>
        <w:t xml:space="preserve"> sur presque </w:t>
      </w:r>
      <w:r>
        <w:rPr>
          <w:rFonts w:ascii="Arial" w:hAnsi="Arial" w:cs="Arial"/>
          <w:sz w:val="20"/>
          <w:szCs w:val="20"/>
          <w:u w:val="single"/>
          <w:lang w:val="fr-FR"/>
        </w:rPr>
        <w:t>toute la surface</w:t>
      </w:r>
      <w:r>
        <w:rPr>
          <w:rFonts w:ascii="Arial" w:hAnsi="Arial" w:cs="Arial"/>
          <w:sz w:val="20"/>
          <w:szCs w:val="20"/>
          <w:lang w:val="fr-FR"/>
        </w:rPr>
        <w:t xml:space="preserve"> jusqu’à une hauteur de 2,5 m. Des obstacles sont détectés </w:t>
      </w:r>
      <w:r>
        <w:rPr>
          <w:rFonts w:ascii="Arial" w:hAnsi="Arial" w:cs="Arial"/>
          <w:sz w:val="20"/>
          <w:szCs w:val="20"/>
          <w:u w:val="single"/>
          <w:lang w:val="fr-FR"/>
        </w:rPr>
        <w:t>sans contact</w:t>
      </w:r>
      <w:r>
        <w:rPr>
          <w:rFonts w:ascii="Arial" w:hAnsi="Arial" w:cs="Arial"/>
          <w:sz w:val="20"/>
          <w:szCs w:val="20"/>
          <w:lang w:val="fr-FR"/>
        </w:rPr>
        <w:t>. Le mouvement de fermeture s’arrête alors immédiatement. Le mode inversé peut ainsi être déclenché bien plus tôt. Barre palpeuse et/ou cellule(s) photoélectrique(s) sont inutiles.</w:t>
      </w:r>
    </w:p>
    <w:p w14:paraId="5D65F282" w14:textId="77777777" w:rsidR="00E12E8F" w:rsidRPr="00E12E8F" w:rsidRDefault="00E12E8F" w:rsidP="00E12E8F">
      <w:pPr>
        <w:ind w:right="169"/>
        <w:jc w:val="both"/>
        <w:rPr>
          <w:rFonts w:ascii="Arial" w:hAnsi="Arial"/>
          <w:sz w:val="20"/>
          <w:szCs w:val="20"/>
          <w:u w:val="single"/>
        </w:rPr>
      </w:pPr>
    </w:p>
    <w:p w14:paraId="6CB91776" w14:textId="17B60B29" w:rsidR="00E12E8F" w:rsidRPr="00931E83" w:rsidRDefault="00E12E8F" w:rsidP="00931E83">
      <w:pPr>
        <w:ind w:right="312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lang w:val="fr-FR"/>
        </w:rPr>
        <w:t>Tabliers spéciaux :</w:t>
      </w:r>
    </w:p>
    <w:p w14:paraId="13C5FB3D" w14:textId="77777777" w:rsidR="00E12E8F" w:rsidRPr="00E12E8F" w:rsidRDefault="00E12E8F" w:rsidP="00E12E8F">
      <w:pPr>
        <w:ind w:right="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fr-FR"/>
        </w:rPr>
        <w:t xml:space="preserve">Tissu en polyester </w:t>
      </w:r>
      <w:r>
        <w:rPr>
          <w:rFonts w:ascii="Arial" w:hAnsi="Arial" w:cs="Arial"/>
          <w:sz w:val="20"/>
          <w:szCs w:val="20"/>
          <w:lang w:val="fr-FR"/>
        </w:rPr>
        <w:t xml:space="preserve">d’une épaisseur de </w:t>
      </w:r>
      <w:r>
        <w:rPr>
          <w:rFonts w:ascii="Arial" w:hAnsi="Arial" w:cs="Arial"/>
          <w:b/>
          <w:bCs/>
          <w:sz w:val="20"/>
          <w:szCs w:val="20"/>
          <w:lang w:val="fr-FR"/>
        </w:rPr>
        <w:t>2,0 </w:t>
      </w:r>
      <w:r>
        <w:rPr>
          <w:rFonts w:ascii="Arial" w:hAnsi="Arial" w:cs="Arial"/>
          <w:sz w:val="20"/>
          <w:szCs w:val="20"/>
          <w:lang w:val="fr-FR"/>
        </w:rPr>
        <w:t>mm, à stabilité transversale, agréé par la FDA</w:t>
      </w:r>
    </w:p>
    <w:p w14:paraId="2D43FFE5" w14:textId="77777777" w:rsidR="00E12E8F" w:rsidRPr="00E12E8F" w:rsidRDefault="00E12E8F" w:rsidP="00E12E8F">
      <w:pPr>
        <w:ind w:right="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FR"/>
        </w:rPr>
        <w:t xml:space="preserve">rouge / orange / jaune : pas antistatique, sans silicone </w:t>
      </w:r>
    </w:p>
    <w:p w14:paraId="51358289" w14:textId="3DD6DCEA" w:rsidR="00E12E8F" w:rsidRPr="00E12E8F" w:rsidRDefault="00E12E8F" w:rsidP="00E12E8F">
      <w:pPr>
        <w:ind w:right="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FR"/>
        </w:rPr>
        <w:t>bleu / gris-blanc : antistatique, sans silicone</w:t>
      </w:r>
    </w:p>
    <w:p w14:paraId="2C120812" w14:textId="76E5DF9C" w:rsidR="00E12E8F" w:rsidRPr="00E12E8F" w:rsidRDefault="00E12E8F" w:rsidP="00E12E8F">
      <w:pPr>
        <w:ind w:right="2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fr-FR"/>
        </w:rPr>
        <w:t>voir ci-dessus, mais</w:t>
      </w:r>
    </w:p>
    <w:p w14:paraId="4ACC640B" w14:textId="77777777" w:rsidR="00E12E8F" w:rsidRPr="00E12E8F" w:rsidRDefault="00E12E8F" w:rsidP="00E12E8F">
      <w:pPr>
        <w:ind w:right="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fr-FR"/>
        </w:rPr>
        <w:t>avec bandes transparentes</w:t>
      </w:r>
      <w:r>
        <w:rPr>
          <w:rFonts w:ascii="Arial" w:hAnsi="Arial" w:cs="Arial"/>
          <w:sz w:val="20"/>
          <w:szCs w:val="20"/>
          <w:lang w:val="fr-FR"/>
        </w:rPr>
        <w:t xml:space="preserve"> en PVC complètement transparent</w:t>
      </w:r>
    </w:p>
    <w:p w14:paraId="1E26DB1B" w14:textId="77777777" w:rsidR="00E12E8F" w:rsidRPr="00E12E8F" w:rsidRDefault="00E12E8F" w:rsidP="00E12E8F">
      <w:pPr>
        <w:ind w:right="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FR"/>
        </w:rPr>
        <w:t>(Pour le tablier avec fenêtre, seulement en partie antistatique et en partie agréé</w:t>
      </w:r>
    </w:p>
    <w:p w14:paraId="53B05DDE" w14:textId="77777777" w:rsidR="00E12E8F" w:rsidRPr="00E12E8F" w:rsidRDefault="00E12E8F" w:rsidP="00E12E8F">
      <w:pPr>
        <w:ind w:right="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FR"/>
        </w:rPr>
        <w:t>pour l’industrie alimentaire)</w:t>
      </w:r>
    </w:p>
    <w:p w14:paraId="300DFD4B" w14:textId="77777777" w:rsidR="00E12E8F" w:rsidRPr="00E12E8F" w:rsidRDefault="00E12E8F" w:rsidP="00E12E8F">
      <w:pPr>
        <w:ind w:right="27"/>
        <w:jc w:val="both"/>
        <w:rPr>
          <w:rFonts w:ascii="Arial" w:hAnsi="Arial" w:cs="Arial"/>
          <w:sz w:val="20"/>
          <w:szCs w:val="20"/>
        </w:rPr>
      </w:pPr>
    </w:p>
    <w:p w14:paraId="23BAF273" w14:textId="77777777" w:rsidR="00E12E8F" w:rsidRPr="00E12E8F" w:rsidRDefault="00E12E8F" w:rsidP="00E12E8F">
      <w:pPr>
        <w:ind w:right="2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fr-FR"/>
        </w:rPr>
        <w:t>Alternative :</w:t>
      </w:r>
    </w:p>
    <w:p w14:paraId="55F3F533" w14:textId="77777777" w:rsidR="00E12E8F" w:rsidRPr="00E12E8F" w:rsidRDefault="00E12E8F" w:rsidP="00E12E8F">
      <w:pPr>
        <w:ind w:right="27"/>
        <w:jc w:val="both"/>
        <w:rPr>
          <w:rFonts w:ascii="Arial" w:hAnsi="Arial" w:cs="Arial"/>
          <w:sz w:val="20"/>
          <w:szCs w:val="20"/>
        </w:rPr>
      </w:pPr>
    </w:p>
    <w:p w14:paraId="0B12940D" w14:textId="77777777" w:rsidR="00E12E8F" w:rsidRPr="00E12E8F" w:rsidRDefault="00E12E8F" w:rsidP="00E12E8F">
      <w:pPr>
        <w:ind w:right="2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fr-FR"/>
        </w:rPr>
        <w:t xml:space="preserve">Tissu en polyester </w:t>
      </w:r>
      <w:r>
        <w:rPr>
          <w:rFonts w:ascii="Arial" w:hAnsi="Arial" w:cs="Arial"/>
          <w:sz w:val="20"/>
          <w:szCs w:val="20"/>
          <w:lang w:val="fr-FR"/>
        </w:rPr>
        <w:t xml:space="preserve">d’une épaisseur de </w:t>
      </w:r>
      <w:r>
        <w:rPr>
          <w:rFonts w:ascii="Arial" w:hAnsi="Arial" w:cs="Arial"/>
          <w:b/>
          <w:bCs/>
          <w:sz w:val="20"/>
          <w:szCs w:val="20"/>
          <w:lang w:val="fr-FR"/>
        </w:rPr>
        <w:t>2,0</w:t>
      </w:r>
      <w:r>
        <w:rPr>
          <w:rFonts w:ascii="Arial" w:hAnsi="Arial" w:cs="Arial"/>
          <w:sz w:val="20"/>
          <w:szCs w:val="20"/>
          <w:lang w:val="fr-FR"/>
        </w:rPr>
        <w:t> mm, gris-noir, à stabilité transversale, imprégné d’uréthane,</w:t>
      </w:r>
      <w:r>
        <w:rPr>
          <w:rFonts w:ascii="Arial" w:hAnsi="Arial" w:cs="Arial"/>
          <w:b/>
          <w:bCs/>
          <w:sz w:val="20"/>
          <w:szCs w:val="20"/>
          <w:lang w:val="fr-FR"/>
        </w:rPr>
        <w:t xml:space="preserve"> </w:t>
      </w:r>
    </w:p>
    <w:p w14:paraId="62C66720" w14:textId="77777777" w:rsidR="00E12E8F" w:rsidRPr="00E12E8F" w:rsidRDefault="00E12E8F" w:rsidP="00E12E8F">
      <w:pPr>
        <w:ind w:right="2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fr-FR"/>
        </w:rPr>
        <w:t>Difficilement inflammable B1 (SE) selon</w:t>
      </w:r>
      <w:r>
        <w:rPr>
          <w:rFonts w:ascii="Arial" w:hAnsi="Arial" w:cs="Arial"/>
          <w:sz w:val="20"/>
          <w:szCs w:val="20"/>
          <w:lang w:val="fr-FR"/>
        </w:rPr>
        <w:t xml:space="preserve"> DIN EN 20340, </w:t>
      </w:r>
      <w:r>
        <w:rPr>
          <w:rFonts w:ascii="Arial" w:hAnsi="Arial" w:cs="Arial"/>
          <w:b/>
          <w:bCs/>
          <w:sz w:val="20"/>
          <w:szCs w:val="20"/>
          <w:lang w:val="fr-FR"/>
        </w:rPr>
        <w:t>antistatique, sans silicone</w:t>
      </w:r>
    </w:p>
    <w:p w14:paraId="706F1D80" w14:textId="77777777" w:rsidR="00E12E8F" w:rsidRPr="00E12E8F" w:rsidRDefault="00E12E8F" w:rsidP="00E12E8F">
      <w:pPr>
        <w:ind w:right="27"/>
        <w:jc w:val="both"/>
        <w:rPr>
          <w:rFonts w:ascii="Arial" w:hAnsi="Arial" w:cs="Arial"/>
          <w:b/>
          <w:sz w:val="20"/>
          <w:szCs w:val="20"/>
        </w:rPr>
      </w:pPr>
    </w:p>
    <w:p w14:paraId="71CBA066" w14:textId="77777777" w:rsidR="00E12E8F" w:rsidRPr="00E12E8F" w:rsidRDefault="00E12E8F" w:rsidP="00E12E8F">
      <w:pPr>
        <w:ind w:right="170"/>
        <w:jc w:val="both"/>
        <w:rPr>
          <w:rFonts w:ascii="Arial" w:hAnsi="Arial"/>
          <w:sz w:val="20"/>
          <w:szCs w:val="20"/>
        </w:rPr>
      </w:pPr>
    </w:p>
    <w:p w14:paraId="36E6A40B" w14:textId="77777777" w:rsidR="00E12E8F" w:rsidRPr="00E12E8F" w:rsidRDefault="00E12E8F" w:rsidP="00FA041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E12E8F" w:rsidRPr="00E12E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041A"/>
    <w:rsid w:val="000D2B9D"/>
    <w:rsid w:val="00343157"/>
    <w:rsid w:val="004A7B99"/>
    <w:rsid w:val="00654531"/>
    <w:rsid w:val="008F79B7"/>
    <w:rsid w:val="00931E83"/>
    <w:rsid w:val="00AF1933"/>
    <w:rsid w:val="00B27DDA"/>
    <w:rsid w:val="00CD3D1F"/>
    <w:rsid w:val="00E12E8F"/>
    <w:rsid w:val="00EE052E"/>
    <w:rsid w:val="00F31A0D"/>
    <w:rsid w:val="00FA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3E162"/>
  <w15:chartTrackingRefBased/>
  <w15:docId w15:val="{8FE36B64-2E6D-4E4B-9E5C-D674668A5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locktext">
    <w:name w:val="Block Text"/>
    <w:basedOn w:val="Standard"/>
    <w:rsid w:val="00E12E8F"/>
    <w:pPr>
      <w:spacing w:after="0" w:line="240" w:lineRule="auto"/>
      <w:ind w:left="86" w:right="170"/>
      <w:jc w:val="both"/>
    </w:pPr>
    <w:rPr>
      <w:rFonts w:ascii="Arial" w:eastAsia="Times New Roman" w:hAnsi="Arial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Flexeder Markus</dc:creator>
  <cp:keywords/>
  <dc:description/>
  <cp:lastModifiedBy>Richter, Corina</cp:lastModifiedBy>
  <cp:revision>2</cp:revision>
  <dcterms:created xsi:type="dcterms:W3CDTF">2023-01-24T14:21:00Z</dcterms:created>
  <dcterms:modified xsi:type="dcterms:W3CDTF">2023-04-28T07:56:00Z</dcterms:modified>
</cp:coreProperties>
</file>