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C70" w:rsidRDefault="00C63C70" w:rsidP="00CA5BF6">
      <w:pPr>
        <w:spacing w:line="360" w:lineRule="auto"/>
        <w:rPr>
          <w:rFonts w:ascii="Arial" w:hAnsi="Arial"/>
          <w:b/>
          <w:u w:val="single"/>
        </w:rPr>
      </w:pPr>
    </w:p>
    <w:p w:rsidR="00CA5BF6" w:rsidRPr="00C63C70" w:rsidRDefault="00CA5BF6" w:rsidP="00CA5BF6">
      <w:pPr>
        <w:spacing w:line="360" w:lineRule="auto"/>
        <w:rPr>
          <w:rFonts w:ascii="Arial" w:hAnsi="Arial"/>
          <w:b/>
        </w:rPr>
        <w:bidi w:val="0"/>
      </w:pPr>
      <w:r>
        <w:rPr>
          <w:rFonts w:ascii="Arial" w:hAnsi="Arial"/>
          <w:lang w:val="fr-fr"/>
          <w:b w:val="1"/>
          <w:bCs w:val="1"/>
          <w:i w:val="0"/>
          <w:iCs w:val="0"/>
          <w:u w:val="single"/>
          <w:vertAlign w:val="baseline"/>
          <w:rtl w:val="0"/>
        </w:rPr>
        <w:t xml:space="preserve">PORTE RAPIDE TURBO</w:t>
      </w:r>
      <w:r>
        <w:rPr>
          <w:rFonts w:ascii="Arial" w:hAnsi="Arial"/>
          <w:lang w:val="fr-fr"/>
          <w:b w:val="1"/>
          <w:bCs w:val="1"/>
          <w:i w:val="0"/>
          <w:iCs w:val="0"/>
          <w:u w:val="none"/>
          <w:vertAlign w:val="baseline"/>
          <w:rtl w:val="0"/>
        </w:rPr>
        <w:t xml:space="preserve">, type « EFA-STT</w:t>
      </w:r>
      <w:r>
        <w:rPr>
          <w:rFonts w:ascii="Arial" w:hAnsi="Arial"/>
          <w:lang w:val="fr-fr"/>
          <w:b w:val="1"/>
          <w:bCs w:val="1"/>
          <w:i w:val="0"/>
          <w:iCs w:val="0"/>
          <w:u w:val="none"/>
          <w:vertAlign w:val="superscript"/>
          <w:rtl w:val="0"/>
        </w:rPr>
        <w:t xml:space="preserve">®</w:t>
      </w:r>
      <w:r>
        <w:rPr>
          <w:rFonts w:ascii="Arial" w:hAnsi="Arial"/>
          <w:lang w:val="fr-fr"/>
          <w:b w:val="1"/>
          <w:bCs w:val="1"/>
          <w:i w:val="0"/>
          <w:iCs w:val="0"/>
          <w:u w:val="none"/>
          <w:vertAlign w:val="baseline"/>
          <w:rtl w:val="0"/>
        </w:rPr>
        <w:t xml:space="preserve">-ÜS »</w:t>
      </w:r>
    </w:p>
    <w:p w:rsidR="00CA5BF6" w:rsidRDefault="00CA5BF6" w:rsidP="00986BAB">
      <w:pPr>
        <w:ind w:left="113" w:right="113" w:hanging="113"/>
        <w:jc w:val="both"/>
        <w:rPr>
          <w:rFonts w:ascii="Arial" w:hAnsi="Arial"/>
        </w:rPr>
      </w:pPr>
    </w:p>
    <w:p w:rsidR="000113DE" w:rsidRDefault="000113DE" w:rsidP="00986BAB">
      <w:pPr>
        <w:ind w:left="113" w:right="113" w:hanging="113"/>
        <w:jc w:val="both"/>
        <w:rPr>
          <w:rFonts w:ascii="Arial" w:hAnsi="Arial"/>
        </w:rPr>
      </w:pPr>
    </w:p>
    <w:p w:rsidR="00AD6F4C" w:rsidRDefault="00AD6F4C" w:rsidP="00AD6F4C">
      <w:pPr>
        <w:ind w:left="113" w:right="113" w:hanging="113"/>
        <w:jc w:val="both"/>
        <w:rPr>
          <w:rFonts w:ascii="Arial" w:hAnsi="Arial"/>
        </w:rPr>
        <w:bidi w:val="0"/>
      </w:pPr>
      <w:r>
        <w:rPr>
          <w:rFonts w:ascii="Arial" w:hAnsi="Arial"/>
          <w:lang w:val="fr-fr"/>
          <w:b w:val="0"/>
          <w:bCs w:val="0"/>
          <w:i w:val="0"/>
          <w:iCs w:val="0"/>
          <w:u w:val="none"/>
          <w:vertAlign w:val="baseline"/>
          <w:rtl w:val="0"/>
        </w:rPr>
        <w:t xml:space="preserve">Fabrication, livraison et montage de :</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bidi w:val="0"/>
      </w:pPr>
      <w:r>
        <w:rPr>
          <w:rFonts w:ascii="Arial" w:hAnsi="Arial"/>
          <w:lang w:val="fr-fr"/>
          <w:b w:val="0"/>
          <w:bCs w:val="0"/>
          <w:i w:val="0"/>
          <w:iCs w:val="0"/>
          <w:u w:val="none"/>
          <w:vertAlign w:val="baseline"/>
          <w:rtl w:val="0"/>
        </w:rPr>
        <w:t xml:space="preserve">Porte rapide Turbo type « EFA-STT</w:t>
      </w:r>
      <w:r>
        <w:rPr>
          <w:rFonts w:ascii="Arial" w:hAnsi="Arial"/>
          <w:sz w:val="22"/>
          <w:szCs w:val="22"/>
          <w:lang w:val="fr-fr"/>
          <w:b w:val="0"/>
          <w:bCs w:val="0"/>
          <w:i w:val="0"/>
          <w:iCs w:val="0"/>
          <w:u w:val="none"/>
          <w:vertAlign w:val="superscript"/>
          <w:rtl w:val="0"/>
        </w:rPr>
        <w:t xml:space="preserve">®</w:t>
      </w:r>
      <w:r>
        <w:rPr>
          <w:rFonts w:ascii="Arial" w:hAnsi="Arial"/>
          <w:lang w:val="fr-fr"/>
          <w:b w:val="0"/>
          <w:bCs w:val="0"/>
          <w:i w:val="0"/>
          <w:iCs w:val="0"/>
          <w:u w:val="none"/>
          <w:vertAlign w:val="baseline"/>
          <w:rtl w:val="0"/>
        </w:rPr>
        <w:t xml:space="preserve">-ÜS » avec entraînement de porte haute puissance électromécanique pour une application industrielle permanente</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bidi w:val="0"/>
      </w:pPr>
      <w:r>
        <w:rPr>
          <w:rFonts w:ascii="Arial" w:hAnsi="Arial"/>
          <w:lang w:val="fr-fr"/>
          <w:b w:val="0"/>
          <w:bCs w:val="0"/>
          <w:i w:val="0"/>
          <w:iCs w:val="0"/>
          <w:u w:val="none"/>
          <w:vertAlign w:val="baseline"/>
          <w:rtl w:val="0"/>
        </w:rPr>
        <w:t xml:space="preserve">Le système de porte se compose essentiellement :</w:t>
      </w:r>
    </w:p>
    <w:p w:rsidR="00BE6D8C" w:rsidRDefault="00BE6D8C" w:rsidP="00BE6D8C">
      <w:pPr>
        <w:ind w:right="113"/>
        <w:jc w:val="both"/>
        <w:rPr>
          <w:rFonts w:ascii="Arial" w:hAnsi="Arial"/>
        </w:rPr>
        <w:bidi w:val="0"/>
      </w:pPr>
      <w:r>
        <w:rPr>
          <w:rFonts w:ascii="Arial" w:hAnsi="Arial"/>
          <w:lang w:val="fr-fr"/>
          <w:b w:val="0"/>
          <w:bCs w:val="0"/>
          <w:i w:val="0"/>
          <w:iCs w:val="0"/>
          <w:u w:val="none"/>
          <w:vertAlign w:val="baseline"/>
          <w:rtl w:val="0"/>
        </w:rPr>
        <w:t xml:space="preserve">de montants d’acier latéraux autoportants ; de pièces en acier généralement galvanisées, d’une réception du tablier en forme de spirale</w:t>
      </w:r>
    </w:p>
    <w:p w:rsidR="00BE6D8C" w:rsidRDefault="00BE6D8C" w:rsidP="00BE6D8C">
      <w:pPr>
        <w:ind w:right="113"/>
        <w:jc w:val="both"/>
        <w:rPr>
          <w:rFonts w:ascii="Arial" w:hAnsi="Arial"/>
        </w:rPr>
        <w:bidi w:val="0"/>
      </w:pPr>
      <w:r>
        <w:rPr>
          <w:rFonts w:ascii="Arial" w:hAnsi="Arial"/>
          <w:lang w:val="fr-fr"/>
          <w:b w:val="0"/>
          <w:bCs w:val="0"/>
          <w:i w:val="0"/>
          <w:iCs w:val="0"/>
          <w:u w:val="none"/>
          <w:vertAlign w:val="baseline"/>
          <w:rtl w:val="0"/>
        </w:rPr>
        <w:t xml:space="preserve">L’application de force s’effectue des deux côtés : Pour ce faire, un arbre de synchronisation est installé.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w:t>
      </w:r>
    </w:p>
    <w:p w:rsidR="00BE6D8C" w:rsidRDefault="00BE6D8C" w:rsidP="00BE6D8C">
      <w:pPr>
        <w:ind w:right="113"/>
        <w:jc w:val="both"/>
        <w:rPr>
          <w:rFonts w:ascii="Arial" w:hAnsi="Arial"/>
        </w:rPr>
      </w:pPr>
    </w:p>
    <w:p w:rsidR="00986BAB" w:rsidRDefault="00986BAB" w:rsidP="00986BAB">
      <w:pPr>
        <w:ind w:right="113"/>
        <w:jc w:val="both"/>
        <w:rPr>
          <w:rFonts w:ascii="Arial" w:hAnsi="Arial"/>
        </w:rPr>
        <w:bidi w:val="0"/>
      </w:pPr>
      <w:r>
        <w:rPr>
          <w:rFonts w:ascii="Arial" w:hAnsi="Arial"/>
          <w:lang w:val="fr-fr"/>
          <w:b w:val="0"/>
          <w:bCs w:val="0"/>
          <w:i w:val="0"/>
          <w:iCs w:val="0"/>
          <w:u w:val="none"/>
          <w:vertAlign w:val="baseline"/>
          <w:rtl w:val="0"/>
        </w:rPr>
        <w:t xml:space="preserve">Tablier composé de deux traverses extérieures en aluminium anodisé et d’une zone centrale fabriquée en verre acrylique transparent simple paroi. La surface visible du tablier doit être égale à 70 % min. et une lucidité durable doit, en outre, être garantie.</w:t>
      </w:r>
    </w:p>
    <w:p w:rsidR="00CA5BF6" w:rsidRDefault="00CA5BF6" w:rsidP="00CA5BF6">
      <w:pPr>
        <w:ind w:right="113"/>
        <w:jc w:val="both"/>
        <w:rPr>
          <w:rFonts w:ascii="Arial" w:hAnsi="Arial"/>
        </w:rPr>
      </w:pPr>
    </w:p>
    <w:p w:rsidR="00CA5BF6" w:rsidRDefault="00CA5BF6" w:rsidP="00CA5BF6">
      <w:pPr>
        <w:ind w:right="113"/>
        <w:jc w:val="both"/>
        <w:rPr>
          <w:rFonts w:ascii="Arial" w:hAnsi="Arial"/>
        </w:rPr>
        <w:bidi w:val="0"/>
      </w:pPr>
      <w:r>
        <w:rPr>
          <w:rFonts w:ascii="Arial" w:hAnsi="Arial"/>
          <w:lang w:val="fr-fr"/>
          <w:b w:val="0"/>
          <w:bCs w:val="0"/>
          <w:i w:val="0"/>
          <w:iCs w:val="0"/>
          <w:u w:val="none"/>
          <w:vertAlign w:val="baseline"/>
          <w:rtl w:val="0"/>
        </w:rPr>
        <w:t xml:space="preserve">Le </w:t>
      </w:r>
      <w:r>
        <w:rPr>
          <w:rFonts w:ascii="Arial" w:hAnsi="Arial"/>
          <w:lang w:val="fr-fr"/>
          <w:b w:val="1"/>
          <w:bCs w:val="1"/>
          <w:i w:val="0"/>
          <w:iCs w:val="0"/>
          <w:u w:val="none"/>
          <w:vertAlign w:val="baseline"/>
          <w:rtl w:val="0"/>
        </w:rPr>
        <w:t xml:space="preserve">CORPS EN SPIRALE</w:t>
      </w:r>
      <w:r>
        <w:rPr>
          <w:rFonts w:ascii="Arial" w:hAnsi="Arial"/>
          <w:lang w:val="fr-fr"/>
          <w:b w:val="0"/>
          <w:bCs w:val="0"/>
          <w:i w:val="0"/>
          <w:iCs w:val="0"/>
          <w:u w:val="none"/>
          <w:vertAlign w:val="baseline"/>
          <w:rtl w:val="0"/>
        </w:rPr>
        <w:t xml:space="preserve"> est construit de telle manière que les lames du tablier passent les unes à côté des autres totalement sans contact et donc sans usure et silencieusement. </w:t>
      </w:r>
    </w:p>
    <w:p w:rsidR="00734D40" w:rsidRDefault="00734D40" w:rsidP="00CA5BF6">
      <w:pPr>
        <w:ind w:right="113"/>
        <w:jc w:val="both"/>
        <w:rPr>
          <w:rFonts w:ascii="Arial" w:hAnsi="Arial"/>
        </w:rPr>
        <w:bidi w:val="0"/>
      </w:pPr>
      <w:r>
        <w:rPr>
          <w:rFonts w:ascii="Arial" w:hAnsi="Arial"/>
          <w:lang w:val="fr-fr"/>
          <w:b w:val="0"/>
          <w:bCs w:val="0"/>
          <w:i w:val="0"/>
          <w:iCs w:val="0"/>
          <w:u w:val="none"/>
          <w:vertAlign w:val="baseline"/>
          <w:rtl w:val="0"/>
        </w:rPr>
        <w:t xml:space="preserve">En spirale : Spirale ronde</w:t>
      </w:r>
    </w:p>
    <w:p w:rsidR="00C44FD1" w:rsidRDefault="00C44FD1" w:rsidP="00C44FD1">
      <w:pPr>
        <w:ind w:right="170"/>
        <w:jc w:val="both"/>
        <w:rPr>
          <w:rFonts w:ascii="Arial" w:hAnsi="Arial"/>
        </w:rPr>
        <w:bidi w:val="0"/>
      </w:pPr>
      <w:r>
        <w:rPr>
          <w:rFonts w:ascii="Arial" w:hAnsi="Arial"/>
          <w:lang w:val="fr-fr"/>
          <w:b w:val="0"/>
          <w:bCs w:val="0"/>
          <w:i w:val="0"/>
          <w:iCs w:val="0"/>
          <w:u w:val="none"/>
          <w:vertAlign w:val="baseline"/>
          <w:rtl w:val="0"/>
        </w:rPr>
        <w:t xml:space="preserve">L’</w:t>
      </w:r>
      <w:r>
        <w:rPr>
          <w:rFonts w:ascii="Arial" w:hAnsi="Arial"/>
          <w:lang w:val="fr-fr"/>
          <w:b w:val="1"/>
          <w:bCs w:val="1"/>
          <w:i w:val="0"/>
          <w:iCs w:val="0"/>
          <w:u w:val="none"/>
          <w:vertAlign w:val="baseline"/>
          <w:rtl w:val="0"/>
        </w:rPr>
        <w:t xml:space="preserve">ENTRAÎNEMENT DE LA PORTE</w:t>
      </w:r>
      <w:r>
        <w:rPr>
          <w:rFonts w:ascii="Arial" w:hAnsi="Arial"/>
          <w:lang w:val="fr-fr"/>
          <w:b w:val="0"/>
          <w:bCs w:val="0"/>
          <w:i w:val="0"/>
          <w:iCs w:val="0"/>
          <w:u w:val="none"/>
          <w:vertAlign w:val="baseline"/>
          <w:rtl w:val="0"/>
        </w:rPr>
        <w:t xml:space="preserv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rsidR="00C44FD1" w:rsidRDefault="00C44FD1" w:rsidP="00CA5BF6">
      <w:pPr>
        <w:ind w:right="170"/>
        <w:jc w:val="both"/>
        <w:rPr>
          <w:rFonts w:ascii="Arial" w:hAnsi="Arial"/>
          <w:b/>
        </w:rPr>
      </w:pPr>
    </w:p>
    <w:p w:rsidR="00CA5BF6" w:rsidRDefault="00CA5BF6" w:rsidP="00CA5BF6">
      <w:pPr>
        <w:ind w:right="170"/>
        <w:jc w:val="both"/>
        <w:rPr>
          <w:rFonts w:ascii="Arial" w:hAnsi="Arial"/>
          <w:b/>
        </w:rPr>
        <w:bidi w:val="0"/>
      </w:pPr>
      <w:r>
        <w:rPr>
          <w:rFonts w:ascii="Arial" w:hAnsi="Arial"/>
          <w:lang w:val="fr-fr"/>
          <w:b w:val="1"/>
          <w:bCs w:val="1"/>
          <w:i w:val="0"/>
          <w:iCs w:val="0"/>
          <w:u w:val="none"/>
          <w:vertAlign w:val="baseline"/>
          <w:rtl w:val="0"/>
        </w:rPr>
        <w:t xml:space="preserve">VITESSE D’OUVERTURE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 jusqu’à env. 1,8 m/sec.</w:t>
      </w:r>
    </w:p>
    <w:p w:rsidR="006836FF" w:rsidRDefault="006836FF" w:rsidP="006836FF">
      <w:pPr>
        <w:tabs>
          <w:tab w:val="left" w:pos="4140"/>
        </w:tabs>
        <w:ind w:right="170"/>
        <w:jc w:val="both"/>
        <w:rPr>
          <w:rFonts w:ascii="Arial" w:hAnsi="Arial"/>
        </w:rPr>
        <w:bidi w:val="0"/>
      </w:pPr>
      <w:r>
        <w:rPr>
          <w:rFonts w:ascii="Arial" w:hAnsi="Arial"/>
          <w:lang w:val="fr-fr"/>
          <w:b w:val="1"/>
          <w:bCs w:val="1"/>
          <w:i w:val="0"/>
          <w:iCs w:val="0"/>
          <w:u w:val="none"/>
          <w:vertAlign w:val="baseline"/>
          <w:rtl w:val="0"/>
        </w:rPr>
        <w:t xml:space="preserve">VITESSE DE TABLIER max.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2,2 m/sec.</w:t>
      </w:r>
    </w:p>
    <w:p w:rsidR="00CA5BF6" w:rsidRDefault="00CA5BF6" w:rsidP="00CA5BF6">
      <w:pPr>
        <w:ind w:right="170"/>
        <w:jc w:val="both"/>
        <w:rPr>
          <w:rFonts w:ascii="Arial" w:hAnsi="Arial"/>
        </w:rPr>
        <w:bidi w:val="0"/>
      </w:pP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 xml:space="preserve">(en fonction de la taille de la porte)</w:t>
      </w:r>
    </w:p>
    <w:p w:rsidR="00CA5BF6" w:rsidRDefault="00E63436" w:rsidP="00CA5BF6">
      <w:pPr>
        <w:ind w:right="170"/>
        <w:jc w:val="both"/>
        <w:rPr>
          <w:rFonts w:ascii="Arial" w:hAnsi="Arial"/>
          <w:b/>
        </w:rPr>
        <w:bidi w:val="0"/>
      </w:pPr>
      <w:r>
        <w:rPr>
          <w:rFonts w:ascii="Arial" w:hAnsi="Arial"/>
          <w:lang w:val="fr-fr"/>
          <w:b w:val="1"/>
          <w:bCs w:val="1"/>
          <w:i w:val="0"/>
          <w:iCs w:val="0"/>
          <w:u w:val="none"/>
          <w:vertAlign w:val="baseline"/>
          <w:rtl w:val="0"/>
        </w:rPr>
        <w:t xml:space="preserve">VITESSE DE FERMETURE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1,0 m/sec.</w:t>
      </w:r>
    </w:p>
    <w:p w:rsidR="00CA5BF6" w:rsidRDefault="00CA5BF6" w:rsidP="00CA5BF6">
      <w:pPr>
        <w:ind w:right="170"/>
        <w:jc w:val="both"/>
        <w:rPr>
          <w:rFonts w:ascii="Arial" w:hAnsi="Arial"/>
        </w:rPr>
      </w:pPr>
    </w:p>
    <w:p w:rsidR="00C44FD1" w:rsidRDefault="00C44FD1" w:rsidP="00C44FD1">
      <w:pPr>
        <w:ind w:right="170"/>
        <w:jc w:val="both"/>
        <w:rPr>
          <w:rFonts w:ascii="Arial" w:hAnsi="Arial"/>
        </w:rPr>
        <w:bidi w:val="0"/>
      </w:pPr>
      <w:r>
        <w:rPr>
          <w:rFonts w:ascii="Arial" w:hAnsi="Arial"/>
          <w:lang w:val="fr-fr"/>
          <w:b w:val="0"/>
          <w:bCs w:val="0"/>
          <w:i w:val="0"/>
          <w:iCs w:val="0"/>
          <w:u w:val="none"/>
          <w:vertAlign w:val="baseline"/>
          <w:rtl w:val="0"/>
        </w:rPr>
        <w:t xml:space="preserve">La </w:t>
      </w:r>
      <w:r>
        <w:rPr>
          <w:rFonts w:ascii="Arial" w:hAnsi="Arial"/>
          <w:lang w:val="fr-fr"/>
          <w:b w:val="1"/>
          <w:bCs w:val="1"/>
          <w:i w:val="0"/>
          <w:iCs w:val="0"/>
          <w:u w:val="none"/>
          <w:vertAlign w:val="baseline"/>
          <w:rtl w:val="0"/>
        </w:rPr>
        <w:t xml:space="preserve">COMMANDE DE MICROPROCESSEUR</w:t>
      </w:r>
      <w:r>
        <w:rPr>
          <w:rFonts w:ascii="Arial" w:hAnsi="Arial"/>
          <w:lang w:val="fr-fr"/>
          <w:b w:val="0"/>
          <w:bCs w:val="0"/>
          <w:i w:val="0"/>
          <w:iCs w:val="0"/>
          <w:u w:val="none"/>
          <w:vertAlign w:val="baseline"/>
          <w:rtl w:val="0"/>
        </w:rPr>
        <w:t xml:space="preserve"> est insérée avec le variateur de fréquence intégré dans une armoire électrique en acier, type de protection IP 65. Branchement électrique 400 V - 50 Hz sur place.</w:t>
      </w:r>
    </w:p>
    <w:p w:rsidR="00C44FD1" w:rsidRDefault="00C44FD1" w:rsidP="00CA5BF6">
      <w:pPr>
        <w:ind w:right="170"/>
        <w:jc w:val="both"/>
        <w:rPr>
          <w:rFonts w:ascii="Arial" w:hAnsi="Arial"/>
        </w:rPr>
      </w:pPr>
    </w:p>
    <w:p w:rsidR="00CB1536" w:rsidRDefault="00CB1536" w:rsidP="00CB1536">
      <w:pPr>
        <w:ind w:right="170"/>
        <w:jc w:val="both"/>
        <w:rPr>
          <w:rFonts w:ascii="Arial" w:hAnsi="Arial"/>
        </w:rPr>
        <w:bidi w:val="0"/>
      </w:pPr>
      <w:r>
        <w:rPr>
          <w:rFonts w:ascii="Arial" w:hAnsi="Arial"/>
          <w:lang w:val="fr-fr"/>
          <w:b w:val="0"/>
          <w:bCs w:val="0"/>
          <w:i w:val="0"/>
          <w:iCs w:val="0"/>
          <w:u w:val="none"/>
          <w:vertAlign w:val="baseline"/>
          <w:rtl w:val="0"/>
        </w:rPr>
        <w:t xml:space="preserve">Une </w:t>
      </w:r>
      <w:r>
        <w:rPr>
          <w:rFonts w:ascii="Arial" w:hAnsi="Arial"/>
          <w:lang w:val="fr-fr"/>
          <w:b w:val="1"/>
          <w:bCs w:val="1"/>
          <w:i w:val="0"/>
          <w:iCs w:val="0"/>
          <w:u w:val="none"/>
          <w:vertAlign w:val="baseline"/>
          <w:rtl w:val="0"/>
        </w:rPr>
        <w:t xml:space="preserve">barre palpeuse de sécurité</w:t>
      </w:r>
      <w:r>
        <w:rPr>
          <w:rFonts w:ascii="Arial" w:hAnsi="Arial"/>
          <w:lang w:val="fr-fr"/>
          <w:b w:val="0"/>
          <w:bCs w:val="0"/>
          <w:i w:val="0"/>
          <w:iCs w:val="0"/>
          <w:u w:val="none"/>
          <w:vertAlign w:val="baseline"/>
          <w:rtl w:val="0"/>
        </w:rPr>
        <w:t xml:space="preserve"> électrique autocontrôlée selon la norme DIN EN 12453 est comprise dans la livraison : Le câble d’alimentation doit être inséré de manière protégée dans une chaîne énergétique à l’intérieur du montant de porte.</w:t>
      </w:r>
    </w:p>
    <w:p w:rsidR="00CA5BF6" w:rsidRDefault="00CA5BF6" w:rsidP="00CA5BF6">
      <w:pPr>
        <w:ind w:right="170"/>
        <w:jc w:val="both"/>
        <w:rPr>
          <w:rFonts w:ascii="Arial" w:hAnsi="Arial"/>
          <w:b/>
        </w:rPr>
      </w:pPr>
    </w:p>
    <w:p w:rsidR="00C44FD1" w:rsidRDefault="00C44FD1" w:rsidP="00C44FD1">
      <w:pPr>
        <w:ind w:right="170"/>
        <w:jc w:val="both"/>
        <w:rPr>
          <w:rFonts w:ascii="Arial" w:hAnsi="Arial"/>
        </w:rPr>
        <w:bidi w:val="0"/>
      </w:pPr>
      <w:r>
        <w:rPr>
          <w:rFonts w:ascii="Arial" w:hAnsi="Arial"/>
          <w:lang w:val="fr-fr"/>
          <w:b w:val="0"/>
          <w:bCs w:val="0"/>
          <w:i w:val="0"/>
          <w:iCs w:val="0"/>
          <w:u w:val="none"/>
          <w:vertAlign w:val="baseline"/>
          <w:rtl w:val="0"/>
        </w:rPr>
        <w:t xml:space="preserve">Les règlements selon la norme DIN EN 13241-1 sont respectés ;</w:t>
      </w:r>
    </w:p>
    <w:p w:rsidR="00C44FD1" w:rsidRDefault="00C44FD1" w:rsidP="00C44FD1">
      <w:pPr>
        <w:ind w:right="113"/>
        <w:jc w:val="both"/>
        <w:rPr>
          <w:rFonts w:ascii="Arial" w:hAnsi="Arial"/>
        </w:rPr>
        <w:bidi w:val="0"/>
      </w:pPr>
      <w:r>
        <w:rPr>
          <w:rFonts w:ascii="Arial" w:hAnsi="Arial"/>
          <w:lang w:val="fr-fr"/>
          <w:b w:val="0"/>
          <w:bCs w:val="0"/>
          <w:i w:val="0"/>
          <w:iCs w:val="0"/>
          <w:u w:val="none"/>
          <w:vertAlign w:val="baseline"/>
          <w:rtl w:val="0"/>
        </w:rPr>
        <w:t xml:space="preserve">Résistance à la charge de vent selon la norme DIN EN 12424 jusqu’à la classe 4</w:t>
      </w:r>
    </w:p>
    <w:p w:rsidR="00734D40" w:rsidRDefault="00734D40" w:rsidP="00734D40">
      <w:pPr>
        <w:ind w:right="113"/>
        <w:jc w:val="both"/>
        <w:rPr>
          <w:rFonts w:ascii="Arial" w:hAnsi="Arial"/>
        </w:rPr>
        <w:bidi w:val="0"/>
      </w:pPr>
      <w:r>
        <w:rPr>
          <w:rFonts w:ascii="Arial" w:hAnsi="Arial"/>
          <w:lang w:val="fr-fr"/>
          <w:b w:val="0"/>
          <w:bCs w:val="0"/>
          <w:i w:val="0"/>
          <w:iCs w:val="0"/>
          <w:u w:val="none"/>
          <w:vertAlign w:val="baseline"/>
          <w:rtl w:val="0"/>
        </w:rPr>
        <w:t xml:space="preserve">Isolation thermique selon la norme DIN EN 12428 jusqu’à 6,28 W/m²K</w:t>
      </w:r>
    </w:p>
    <w:p w:rsidR="00734D40" w:rsidRDefault="00734D40" w:rsidP="00734D40">
      <w:pPr>
        <w:ind w:right="113"/>
        <w:jc w:val="both"/>
        <w:rPr>
          <w:rFonts w:ascii="Arial" w:hAnsi="Arial"/>
        </w:rPr>
        <w:bidi w:val="0"/>
      </w:pPr>
      <w:r>
        <w:rPr>
          <w:rFonts w:ascii="Arial" w:hAnsi="Arial"/>
          <w:lang w:val="fr-fr"/>
          <w:b w:val="0"/>
          <w:bCs w:val="0"/>
          <w:i w:val="0"/>
          <w:iCs w:val="0"/>
          <w:u w:val="none"/>
          <w:vertAlign w:val="baseline"/>
          <w:rtl w:val="0"/>
        </w:rPr>
        <w:t xml:space="preserve">Isolation acoustique selon la norme DIN EN 7171 jusqu’à 20 dB(A)</w:t>
      </w:r>
    </w:p>
    <w:p w:rsidR="008F1480" w:rsidRPr="0020493F" w:rsidRDefault="008F1480" w:rsidP="008F1480">
      <w:pPr>
        <w:ind w:right="113"/>
        <w:jc w:val="both"/>
        <w:rPr>
          <w:rFonts w:ascii="Arial" w:hAnsi="Arial"/>
          <w:sz w:val="18"/>
          <w:szCs w:val="18"/>
        </w:rPr>
        <w:bidi w:val="0"/>
      </w:pPr>
      <w:r>
        <w:rPr>
          <w:rFonts w:ascii="Arial" w:hAnsi="Arial"/>
          <w:sz w:val="18"/>
          <w:szCs w:val="18"/>
          <w:lang w:val="fr-fr"/>
          <w:b w:val="0"/>
          <w:bCs w:val="0"/>
          <w:i w:val="0"/>
          <w:iCs w:val="0"/>
          <w:u w:val="none"/>
          <w:vertAlign w:val="baseline"/>
          <w:rtl w:val="0"/>
        </w:rPr>
        <w:t xml:space="preserve">(les valeurs dépendent de la taille de la porte et de l’équipement)</w:t>
      </w:r>
    </w:p>
    <w:p w:rsidR="00CA5BF6" w:rsidRDefault="00CA5BF6" w:rsidP="00986BAB">
      <w:pPr>
        <w:ind w:right="113"/>
        <w:jc w:val="both"/>
        <w:rPr>
          <w:rFonts w:ascii="Arial" w:hAnsi="Arial"/>
        </w:rPr>
      </w:pPr>
    </w:p>
    <w:p w:rsidR="00CA5BF6" w:rsidRDefault="00CA5BF6" w:rsidP="00986BAB">
      <w:pPr>
        <w:ind w:right="170"/>
        <w:jc w:val="both"/>
        <w:rPr>
          <w:rFonts w:ascii="Arial" w:hAnsi="Arial"/>
        </w:rPr>
      </w:pPr>
    </w:p>
    <w:p w:rsidR="00CA5BF6" w:rsidRDefault="00CA5BF6" w:rsidP="00BE6D8C">
      <w:pPr>
        <w:ind w:right="169" w:hanging="27"/>
        <w:jc w:val="both"/>
        <w:rPr>
          <w:rFonts w:ascii="Arial" w:hAnsi="Arial"/>
        </w:rPr>
      </w:pPr>
    </w:p>
    <w:p w:rsidR="00986BAB" w:rsidRDefault="00986BAB" w:rsidP="00986BAB">
      <w:pPr>
        <w:ind w:right="170"/>
        <w:jc w:val="both"/>
        <w:rPr>
          <w:rFonts w:ascii="Arial" w:hAnsi="Arial"/>
        </w:rPr>
        <w:bidi w:val="0"/>
      </w:pPr>
      <w:r>
        <w:rPr>
          <w:rFonts w:ascii="Arial" w:hAnsi="Arial"/>
          <w:lang w:val="fr-fr"/>
          <w:b w:val="0"/>
          <w:bCs w:val="0"/>
          <w:i w:val="0"/>
          <w:iCs w:val="0"/>
          <w:u w:val="none"/>
          <w:vertAlign w:val="baseline"/>
          <w:rtl w:val="0"/>
        </w:rPr>
        <w:t xml:space="preserve">ouverture de passage libre</w:t>
      </w:r>
    </w:p>
    <w:p w:rsidR="00986BAB" w:rsidRPr="0068123E" w:rsidRDefault="00986BAB" w:rsidP="00986BAB">
      <w:pPr>
        <w:ind w:right="170"/>
        <w:jc w:val="both"/>
        <w:rPr>
          <w:rFonts w:ascii="Arial" w:hAnsi="Arial"/>
          <w:sz w:val="12"/>
          <w:szCs w:val="12"/>
        </w:rPr>
      </w:pPr>
    </w:p>
    <w:p w:rsidR="00986BAB" w:rsidRDefault="00986BAB" w:rsidP="00986BAB">
      <w:pPr>
        <w:ind w:right="170"/>
        <w:jc w:val="both"/>
        <w:rPr>
          <w:rFonts w:ascii="Arial" w:hAnsi="Arial"/>
        </w:rPr>
        <w:bidi w:val="0"/>
      </w:pPr>
      <w:r>
        <w:rPr>
          <w:rFonts w:ascii="Arial" w:hAnsi="Arial"/>
          <w:lang w:val="fr-fr"/>
          <w:b w:val="0"/>
          <w:bCs w:val="0"/>
          <w:i w:val="0"/>
          <w:iCs w:val="0"/>
          <w:u w:val="none"/>
          <w:vertAlign w:val="baseline"/>
          <w:rtl w:val="0"/>
        </w:rPr>
        <w:t xml:space="preserve">Largeur = ............... mm  x  Hauteur = ............... mm</w:t>
      </w:r>
    </w:p>
    <w:p w:rsidR="00CA5BF6" w:rsidRDefault="00CA5BF6" w:rsidP="00986BAB">
      <w:pPr>
        <w:ind w:right="170"/>
        <w:jc w:val="both"/>
        <w:rPr>
          <w:rFonts w:ascii="Arial" w:hAnsi="Arial"/>
        </w:rPr>
      </w:pPr>
    </w:p>
    <w:p w:rsidR="00CA5BF6" w:rsidRDefault="00CA5BF6" w:rsidP="00986BAB">
      <w:pPr>
        <w:ind w:right="170"/>
        <w:jc w:val="both"/>
        <w:rPr>
          <w:rFonts w:ascii="Arial" w:hAnsi="Arial"/>
        </w:rPr>
      </w:pPr>
    </w:p>
    <w:p w:rsidR="00344C8F" w:rsidRDefault="00344C8F" w:rsidP="00986BAB">
      <w:pPr>
        <w:ind w:right="170"/>
        <w:jc w:val="both"/>
        <w:rPr>
          <w:rFonts w:ascii="Arial" w:hAnsi="Arial"/>
        </w:rPr>
      </w:pPr>
    </w:p>
    <w:p w:rsidR="00344C8F" w:rsidRDefault="00344C8F" w:rsidP="00986BAB">
      <w:pPr>
        <w:ind w:right="170"/>
        <w:jc w:val="both"/>
        <w:rPr>
          <w:rFonts w:ascii="Arial" w:hAnsi="Arial"/>
        </w:rPr>
      </w:pPr>
    </w:p>
    <w:p w:rsidR="00734D40" w:rsidRDefault="00734D40" w:rsidP="00986BAB">
      <w:pPr>
        <w:ind w:right="170"/>
        <w:jc w:val="both"/>
        <w:rPr>
          <w:rFonts w:ascii="Arial" w:hAnsi="Arial"/>
        </w:rPr>
      </w:pPr>
    </w:p>
    <w:p w:rsidR="00734D40" w:rsidRDefault="00734D40" w:rsidP="00986BAB">
      <w:pPr>
        <w:ind w:right="170"/>
        <w:jc w:val="both"/>
        <w:rPr>
          <w:rFonts w:ascii="Arial" w:hAnsi="Arial"/>
        </w:rPr>
      </w:pPr>
    </w:p>
    <w:p w:rsidR="00080121" w:rsidRDefault="00080121" w:rsidP="00986BAB">
      <w:pPr>
        <w:ind w:right="170"/>
        <w:jc w:val="both"/>
        <w:rPr>
          <w:rFonts w:ascii="Arial" w:hAnsi="Arial"/>
        </w:rPr>
      </w:pPr>
    </w:p>
    <w:p w:rsidR="00080121" w:rsidRDefault="00080121" w:rsidP="00986BAB">
      <w:pPr>
        <w:ind w:right="170"/>
        <w:jc w:val="both"/>
        <w:rPr>
          <w:rFonts w:ascii="Arial" w:hAnsi="Arial"/>
        </w:rPr>
      </w:pPr>
    </w:p>
    <w:p w:rsidR="00080121" w:rsidRDefault="00080121" w:rsidP="00986BAB">
      <w:pPr>
        <w:ind w:right="170"/>
        <w:jc w:val="both"/>
        <w:rPr>
          <w:rFonts w:ascii="Arial" w:hAnsi="Arial"/>
        </w:rPr>
      </w:pPr>
    </w:p>
    <w:p w:rsidR="00734D40" w:rsidRDefault="00734D40" w:rsidP="00986BAB">
      <w:pPr>
        <w:ind w:right="170"/>
        <w:jc w:val="both"/>
        <w:rPr>
          <w:rFonts w:ascii="Arial" w:hAnsi="Arial"/>
        </w:rPr>
      </w:pPr>
    </w:p>
    <w:p w:rsidR="00734D40" w:rsidRPr="002074A7" w:rsidRDefault="00734D40" w:rsidP="00734D40">
      <w:pPr>
        <w:ind w:right="169"/>
        <w:jc w:val="both"/>
        <w:rPr>
          <w:rFonts w:ascii="Arial" w:hAnsi="Arial"/>
          <w:b/>
          <w:u w:val="single"/>
        </w:rPr>
        <w:bidi w:val="0"/>
      </w:pPr>
      <w:r>
        <w:rPr>
          <w:rFonts w:ascii="Arial" w:hAnsi="Arial"/>
          <w:lang w:val="fr-fr"/>
          <w:b w:val="1"/>
          <w:bCs w:val="1"/>
          <w:i w:val="0"/>
          <w:iCs w:val="0"/>
          <w:u w:val="single"/>
          <w:vertAlign w:val="baseline"/>
          <w:rtl w:val="0"/>
        </w:rPr>
        <w:t xml:space="preserve">OPTIONS pour porte rapide Turbo « EFA-STT</w:t>
      </w:r>
      <w:r>
        <w:rPr>
          <w:rFonts w:ascii="Arial" w:hAnsi="Arial"/>
          <w:lang w:val="fr-fr"/>
          <w:b w:val="1"/>
          <w:bCs w:val="1"/>
          <w:i w:val="0"/>
          <w:iCs w:val="0"/>
          <w:u w:val="single"/>
          <w:vertAlign w:val="superscript"/>
          <w:rtl w:val="0"/>
        </w:rPr>
        <w:t xml:space="preserve">®</w:t>
      </w:r>
      <w:r>
        <w:rPr>
          <w:rFonts w:ascii="Arial" w:hAnsi="Arial"/>
          <w:lang w:val="fr-fr"/>
          <w:b w:val="1"/>
          <w:bCs w:val="1"/>
          <w:i w:val="0"/>
          <w:iCs w:val="0"/>
          <w:u w:val="single"/>
          <w:vertAlign w:val="baseline"/>
          <w:rtl w:val="0"/>
        </w:rPr>
        <w:t xml:space="preserve">-ÜS » :</w:t>
      </w:r>
    </w:p>
    <w:p w:rsidR="00734D40" w:rsidRPr="00592BF5" w:rsidRDefault="00734D40" w:rsidP="00734D40">
      <w:pPr>
        <w:ind w:right="169"/>
        <w:jc w:val="both"/>
        <w:rPr>
          <w:rFonts w:ascii="Arial" w:hAnsi="Arial"/>
          <w:b/>
          <w:u w:val="single"/>
        </w:rPr>
      </w:pPr>
    </w:p>
    <w:p w:rsidR="00734D40" w:rsidRPr="00A01EB1" w:rsidRDefault="00734D40" w:rsidP="00734D40">
      <w:pPr>
        <w:ind w:right="169"/>
        <w:jc w:val="both"/>
        <w:rPr>
          <w:rFonts w:ascii="Arial" w:hAnsi="Arial"/>
          <w:sz w:val="16"/>
          <w:szCs w:val="16"/>
        </w:rPr>
      </w:pPr>
    </w:p>
    <w:p w:rsidR="00734D40" w:rsidRPr="002074A7" w:rsidRDefault="00734D40" w:rsidP="00734D40">
      <w:pPr>
        <w:ind w:right="169"/>
        <w:jc w:val="both"/>
        <w:rPr>
          <w:rFonts w:ascii="Arial" w:hAnsi="Arial"/>
          <w:b/>
        </w:rPr>
        <w:bidi w:val="0"/>
      </w:pPr>
      <w:r>
        <w:rPr>
          <w:rFonts w:ascii="Arial" w:hAnsi="Arial"/>
          <w:lang w:val="fr-fr"/>
          <w:b w:val="1"/>
          <w:bCs w:val="1"/>
          <w:i w:val="0"/>
          <w:iCs w:val="0"/>
          <w:u w:val="none"/>
          <w:vertAlign w:val="baseline"/>
          <w:rtl w:val="0"/>
        </w:rPr>
        <w:t xml:space="preserve">Surface</w:t>
      </w:r>
    </w:p>
    <w:p w:rsidR="00734D40" w:rsidRDefault="00734D40" w:rsidP="00734D40">
      <w:pPr>
        <w:ind w:right="169"/>
        <w:jc w:val="both"/>
        <w:rPr>
          <w:rFonts w:ascii="Arial" w:hAnsi="Arial"/>
        </w:rPr>
        <w:bidi w:val="0"/>
      </w:pPr>
      <w:r>
        <w:rPr>
          <w:rFonts w:ascii="Arial" w:hAnsi="Arial"/>
          <w:lang w:val="fr-fr"/>
          <w:b w:val="0"/>
          <w:bCs w:val="0"/>
          <w:i w:val="0"/>
          <w:iCs w:val="0"/>
          <w:u w:val="none"/>
          <w:vertAlign w:val="baseline"/>
          <w:rtl w:val="0"/>
        </w:rPr>
        <w:t xml:space="preserve">Revêtement en poudre de toutes les pièces en acier galvanisées visibles dans une couleur selon RAL __________     (des couleurs métallisées </w:t>
      </w:r>
      <w:r>
        <w:rPr>
          <w:rFonts w:ascii="Arial" w:hAnsi="Arial"/>
          <w:lang w:val="fr-fr"/>
          <w:b w:val="0"/>
          <w:bCs w:val="0"/>
          <w:i w:val="0"/>
          <w:iCs w:val="0"/>
          <w:u w:val="single"/>
          <w:vertAlign w:val="baseline"/>
          <w:rtl w:val="0"/>
        </w:rPr>
        <w:t xml:space="preserve">ne</w:t>
      </w:r>
      <w:r>
        <w:rPr>
          <w:rFonts w:ascii="Arial" w:hAnsi="Arial"/>
          <w:lang w:val="fr-fr"/>
          <w:b w:val="0"/>
          <w:bCs w:val="0"/>
          <w:i w:val="0"/>
          <w:iCs w:val="0"/>
          <w:u w:val="none"/>
          <w:vertAlign w:val="baseline"/>
          <w:rtl w:val="0"/>
        </w:rPr>
        <w:t xml:space="preserve"> sont </w:t>
      </w:r>
      <w:r>
        <w:rPr>
          <w:rFonts w:ascii="Arial" w:hAnsi="Arial"/>
          <w:lang w:val="fr-fr"/>
          <w:b w:val="0"/>
          <w:bCs w:val="0"/>
          <w:i w:val="0"/>
          <w:iCs w:val="0"/>
          <w:u w:val="single"/>
          <w:vertAlign w:val="baseline"/>
          <w:rtl w:val="0"/>
        </w:rPr>
        <w:t xml:space="preserve">pas</w:t>
      </w:r>
      <w:r>
        <w:rPr>
          <w:rFonts w:ascii="Arial" w:hAnsi="Arial"/>
          <w:lang w:val="fr-fr"/>
          <w:b w:val="0"/>
          <w:bCs w:val="0"/>
          <w:i w:val="0"/>
          <w:iCs w:val="0"/>
          <w:u w:val="none"/>
          <w:vertAlign w:val="baseline"/>
          <w:rtl w:val="0"/>
        </w:rPr>
        <w:t xml:space="preserve"> disponibles)</w:t>
      </w:r>
    </w:p>
    <w:p w:rsidR="00734D40" w:rsidRDefault="00734D40" w:rsidP="00734D40">
      <w:pPr>
        <w:ind w:right="169"/>
        <w:jc w:val="both"/>
        <w:rPr>
          <w:rFonts w:ascii="Arial" w:hAnsi="Arial"/>
          <w:b/>
        </w:rPr>
      </w:pPr>
    </w:p>
    <w:p w:rsidR="00734D40" w:rsidRDefault="00734D40" w:rsidP="00734D40">
      <w:pPr>
        <w:ind w:right="169"/>
        <w:jc w:val="both"/>
        <w:rPr>
          <w:rFonts w:ascii="Arial" w:hAnsi="Arial"/>
        </w:rPr>
        <w:bidi w:val="0"/>
      </w:pPr>
      <w:r>
        <w:rPr>
          <w:rFonts w:ascii="Arial" w:hAnsi="Arial"/>
          <w:lang w:val="fr-fr"/>
          <w:b w:val="0"/>
          <w:bCs w:val="0"/>
          <w:i w:val="0"/>
          <w:iCs w:val="0"/>
          <w:u w:val="none"/>
          <w:vertAlign w:val="baseline"/>
          <w:rtl w:val="0"/>
        </w:rPr>
        <w:t xml:space="preserve">Revêtement par poudre des traverses de lames dans une couleur selon RAL _______</w:t>
      </w:r>
    </w:p>
    <w:p w:rsidR="00734D40" w:rsidRDefault="00734D40" w:rsidP="00734D40">
      <w:pPr>
        <w:ind w:right="169"/>
        <w:jc w:val="both"/>
        <w:rPr>
          <w:rFonts w:ascii="Arial" w:hAnsi="Arial"/>
        </w:rPr>
      </w:pPr>
    </w:p>
    <w:p w:rsidR="00734D40" w:rsidRPr="00D53734" w:rsidRDefault="00734D40" w:rsidP="00734D40">
      <w:pPr>
        <w:ind w:right="169"/>
        <w:jc w:val="both"/>
        <w:rPr>
          <w:rFonts w:ascii="Arial" w:hAnsi="Arial"/>
          <w:sz w:val="18"/>
          <w:szCs w:val="18"/>
        </w:rPr>
        <w:bidi w:val="0"/>
      </w:pPr>
      <w:r>
        <w:rPr>
          <w:rFonts w:ascii="Arial" w:hAnsi="Arial"/>
          <w:sz w:val="18"/>
          <w:szCs w:val="18"/>
          <w:lang w:val="fr-fr"/>
          <w:b w:val="0"/>
          <w:bCs w:val="0"/>
          <w:i w:val="0"/>
          <w:iCs w:val="0"/>
          <w:u w:val="none"/>
          <w:vertAlign w:val="baseline"/>
          <w:rtl w:val="0"/>
        </w:rPr>
        <w:t xml:space="preserve">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rsidR="00734D40" w:rsidRDefault="00734D40" w:rsidP="00734D40">
      <w:pPr>
        <w:ind w:right="169"/>
        <w:jc w:val="both"/>
        <w:rPr>
          <w:rFonts w:ascii="Arial" w:hAnsi="Arial"/>
          <w:sz w:val="18"/>
          <w:szCs w:val="18"/>
        </w:rPr>
      </w:pPr>
    </w:p>
    <w:p w:rsidR="007667FB" w:rsidRPr="00D53734" w:rsidRDefault="007667FB" w:rsidP="00734D40">
      <w:pPr>
        <w:ind w:right="169"/>
        <w:jc w:val="both"/>
        <w:rPr>
          <w:rFonts w:ascii="Arial" w:hAnsi="Arial"/>
          <w:sz w:val="18"/>
          <w:szCs w:val="18"/>
        </w:rPr>
      </w:pPr>
    </w:p>
    <w:p w:rsidR="007667FB" w:rsidRPr="002074A7" w:rsidRDefault="007667FB" w:rsidP="007667FB">
      <w:pPr>
        <w:ind w:right="311"/>
        <w:jc w:val="both"/>
        <w:rPr>
          <w:rFonts w:ascii="Arial" w:hAnsi="Arial"/>
          <w:b/>
        </w:rPr>
        <w:bidi w:val="0"/>
      </w:pPr>
      <w:r>
        <w:rPr>
          <w:rFonts w:ascii="Arial" w:hAnsi="Arial"/>
          <w:lang w:val="fr-fr"/>
          <w:b w:val="1"/>
          <w:bCs w:val="1"/>
          <w:i w:val="0"/>
          <w:iCs w:val="0"/>
          <w:u w:val="none"/>
          <w:vertAlign w:val="baseline"/>
          <w:rtl w:val="0"/>
        </w:rPr>
        <w:t xml:space="preserve">Exécution du tablier :</w:t>
      </w:r>
    </w:p>
    <w:p w:rsidR="00080121" w:rsidRDefault="00080121" w:rsidP="00080121">
      <w:pPr>
        <w:ind w:right="312"/>
        <w:jc w:val="both"/>
        <w:rPr>
          <w:rFonts w:ascii="Arial" w:hAnsi="Arial"/>
        </w:rPr>
        <w:bidi w:val="0"/>
      </w:pPr>
      <w:r>
        <w:rPr>
          <w:rFonts w:ascii="Arial" w:hAnsi="Arial"/>
          <w:lang w:val="fr-fr"/>
          <w:b w:val="0"/>
          <w:bCs w:val="0"/>
          <w:i w:val="0"/>
          <w:iCs w:val="0"/>
          <w:u w:val="none"/>
          <w:vertAlign w:val="baseline"/>
          <w:rtl w:val="0"/>
        </w:rPr>
        <w:t xml:space="preserve">Supplément pour garniture de tablier en plastique opaque à simple paroi (gris couleur alu).</w:t>
      </w:r>
    </w:p>
    <w:p w:rsidR="00080121" w:rsidRDefault="00080121" w:rsidP="00080121">
      <w:pPr>
        <w:ind w:right="311"/>
        <w:jc w:val="both"/>
        <w:rPr>
          <w:rFonts w:ascii="Arial" w:hAnsi="Arial"/>
          <w:b/>
          <w:u w:val="single"/>
        </w:rPr>
      </w:pPr>
    </w:p>
    <w:p w:rsidR="00080121" w:rsidRDefault="00080121" w:rsidP="00080121">
      <w:pPr>
        <w:ind w:right="311"/>
        <w:jc w:val="both"/>
        <w:rPr>
          <w:rFonts w:ascii="Arial" w:hAnsi="Arial"/>
        </w:rPr>
        <w:bidi w:val="0"/>
      </w:pPr>
      <w:r>
        <w:rPr>
          <w:rFonts w:ascii="Arial" w:hAnsi="Arial"/>
          <w:lang w:val="fr-fr"/>
          <w:b w:val="0"/>
          <w:bCs w:val="0"/>
          <w:i w:val="0"/>
          <w:iCs w:val="0"/>
          <w:u w:val="none"/>
          <w:vertAlign w:val="baseline"/>
          <w:rtl w:val="0"/>
        </w:rPr>
        <w:t xml:space="preserve">Supplément pour garnitures transparentes en polycarbonate enduites d’une couche résistante aux rayures.</w:t>
      </w:r>
    </w:p>
    <w:p w:rsidR="00080121" w:rsidRDefault="00080121" w:rsidP="00080121">
      <w:pPr>
        <w:ind w:right="311"/>
        <w:jc w:val="both"/>
        <w:rPr>
          <w:rFonts w:ascii="Arial" w:hAnsi="Arial"/>
        </w:rPr>
      </w:pPr>
    </w:p>
    <w:p w:rsidR="00080121" w:rsidRDefault="00080121" w:rsidP="00080121">
      <w:pPr>
        <w:ind w:right="312"/>
        <w:jc w:val="both"/>
        <w:rPr>
          <w:rFonts w:ascii="Arial" w:hAnsi="Arial"/>
        </w:rPr>
        <w:bidi w:val="0"/>
      </w:pPr>
      <w:r>
        <w:rPr>
          <w:rFonts w:ascii="Arial" w:hAnsi="Arial"/>
          <w:lang w:val="fr-fr"/>
          <w:b w:val="0"/>
          <w:bCs w:val="0"/>
          <w:i w:val="0"/>
          <w:iCs w:val="0"/>
          <w:u w:val="none"/>
          <w:vertAlign w:val="baseline"/>
          <w:rtl w:val="0"/>
        </w:rPr>
        <w:t xml:space="preserve">Supplément pour lames d’aération en aluminium simple paroi</w:t>
      </w:r>
    </w:p>
    <w:p w:rsidR="00197275" w:rsidRDefault="00197275" w:rsidP="00197275">
      <w:pPr>
        <w:ind w:right="311"/>
        <w:jc w:val="both"/>
        <w:rPr>
          <w:rFonts w:ascii="Arial" w:hAnsi="Arial"/>
        </w:rPr>
      </w:pPr>
    </w:p>
    <w:p w:rsidR="00197275" w:rsidRDefault="00197275" w:rsidP="00197275">
      <w:pPr>
        <w:ind w:right="311"/>
        <w:jc w:val="both"/>
        <w:rPr>
          <w:rFonts w:ascii="Arial" w:hAnsi="Arial"/>
          <w:b/>
        </w:rPr>
        <w:bidi w:val="0"/>
      </w:pPr>
      <w:r>
        <w:rPr>
          <w:rFonts w:ascii="Arial" w:hAnsi="Arial"/>
          <w:lang w:val="fr-fr"/>
          <w:b w:val="1"/>
          <w:bCs w:val="1"/>
          <w:i w:val="0"/>
          <w:iCs w:val="0"/>
          <w:u w:val="none"/>
          <w:vertAlign w:val="baseline"/>
          <w:rtl w:val="0"/>
        </w:rPr>
        <w:t xml:space="preserve">Protection anti-effraction :</w:t>
      </w:r>
    </w:p>
    <w:p w:rsidR="00197275" w:rsidRDefault="00197275" w:rsidP="00197275">
      <w:pPr>
        <w:rPr>
          <w:rFonts w:ascii="Arial" w:hAnsi="Arial"/>
        </w:rPr>
        <w:bidi w:val="0"/>
      </w:pPr>
      <w:r>
        <w:rPr>
          <w:rFonts w:ascii="Arial" w:hAnsi="Arial"/>
          <w:lang w:val="fr-fr"/>
          <w:b w:val="0"/>
          <w:bCs w:val="0"/>
          <w:i w:val="0"/>
          <w:iCs w:val="0"/>
          <w:u w:val="none"/>
          <w:vertAlign w:val="baseline"/>
          <w:rtl w:val="0"/>
        </w:rPr>
        <w:t xml:space="preserve">Supplément pour un </w:t>
      </w:r>
      <w:r>
        <w:rPr>
          <w:rFonts w:ascii="Arial" w:hAnsi="Arial"/>
          <w:lang w:val="fr-fr"/>
          <w:b w:val="1"/>
          <w:bCs w:val="1"/>
          <w:i w:val="0"/>
          <w:iCs w:val="0"/>
          <w:u w:val="none"/>
          <w:vertAlign w:val="baseline"/>
          <w:rtl w:val="0"/>
        </w:rPr>
        <w:t xml:space="preserve">mécanisme de verrouillage mécanique</w:t>
      </w:r>
      <w:r>
        <w:rPr>
          <w:rFonts w:ascii="Arial" w:hAnsi="Arial"/>
          <w:lang w:val="fr-fr"/>
          <w:b w:val="0"/>
          <w:bCs w:val="0"/>
          <w:i w:val="0"/>
          <w:iCs w:val="0"/>
          <w:u w:val="none"/>
          <w:vertAlign w:val="baseline"/>
          <w:rtl w:val="0"/>
        </w:rPr>
        <w:t xml:space="preserve">. Un levier manuel à l’intérieur sert à actionner.</w:t>
      </w:r>
    </w:p>
    <w:p w:rsidR="00816CFB" w:rsidRDefault="00816CFB" w:rsidP="00816CFB">
      <w:pPr>
        <w:ind w:right="311"/>
        <w:jc w:val="both"/>
        <w:rPr>
          <w:rFonts w:ascii="Arial" w:hAnsi="Arial"/>
        </w:rPr>
      </w:pPr>
    </w:p>
    <w:p w:rsidR="00816CFB" w:rsidRDefault="00816CFB" w:rsidP="00816CFB">
      <w:pPr>
        <w:pStyle w:val="Blocktext"/>
        <w:ind w:left="0"/>
        <w:rPr>
          <w:rFonts w:cs="Arial"/>
          <w:b/>
        </w:rPr>
        <w:bidi w:val="0"/>
      </w:pPr>
      <w:r>
        <w:rPr>
          <w:rFonts w:cs="Arial"/>
          <w:lang w:val="fr-fr"/>
          <w:b w:val="1"/>
          <w:bCs w:val="1"/>
          <w:i w:val="0"/>
          <w:iCs w:val="0"/>
          <w:u w:val="none"/>
          <w:vertAlign w:val="baseline"/>
          <w:rtl w:val="0"/>
        </w:rPr>
        <w:t xml:space="preserve">Système de sécurité alternatif :</w:t>
      </w:r>
    </w:p>
    <w:p w:rsidR="00816CFB" w:rsidRDefault="00816CFB" w:rsidP="00816CFB">
      <w:pPr>
        <w:ind w:right="169"/>
        <w:jc w:val="both"/>
        <w:rPr>
          <w:rFonts w:ascii="Arial" w:hAnsi="Arial" w:cs="Arial"/>
        </w:rPr>
        <w:bidi w:val="0"/>
      </w:pPr>
      <w:r>
        <w:rPr>
          <w:rFonts w:ascii="Arial" w:cs="Arial" w:hAnsi="Arial"/>
          <w:lang w:val="fr-fr"/>
          <w:b w:val="0"/>
          <w:bCs w:val="0"/>
          <w:i w:val="0"/>
          <w:iCs w:val="0"/>
          <w:u w:val="none"/>
          <w:vertAlign w:val="baseline"/>
          <w:rtl w:val="0"/>
        </w:rPr>
        <w:t xml:space="preserve">Supplément pour </w:t>
      </w:r>
      <w:r>
        <w:rPr>
          <w:rFonts w:ascii="Arial" w:cs="Arial" w:hAnsi="Arial"/>
          <w:lang w:val="fr-fr"/>
          <w:b w:val="1"/>
          <w:bCs w:val="1"/>
          <w:i w:val="0"/>
          <w:iCs w:val="0"/>
          <w:u w:val="none"/>
          <w:vertAlign w:val="baseline"/>
          <w:rtl w:val="0"/>
        </w:rPr>
        <w:t xml:space="preserve">BARRIÈRE LUMINEUSE DE PORTE</w:t>
      </w:r>
      <w:r>
        <w:rPr>
          <w:rFonts w:ascii="Arial" w:cs="Arial" w:hAnsi="Arial"/>
          <w:lang w:val="fr-fr"/>
          <w:b w:val="0"/>
          <w:bCs w:val="0"/>
          <w:i w:val="0"/>
          <w:iCs w:val="0"/>
          <w:u w:val="none"/>
          <w:vertAlign w:val="baseline"/>
          <w:rtl w:val="0"/>
        </w:rPr>
        <w:t xml:space="preserve"> autocontrôlée et certifiée par le TÜV (EFA-TLG</w:t>
      </w:r>
      <w:r>
        <w:rPr>
          <w:rFonts w:ascii="Arial" w:cs="Arial" w:hAnsi="Arial"/>
          <w:lang w:val="fr-fr"/>
          <w:b w:val="0"/>
          <w:bCs w:val="0"/>
          <w:i w:val="0"/>
          <w:iCs w:val="0"/>
          <w:u w:val="none"/>
          <w:vertAlign w:val="superscript"/>
          <w:rtl w:val="0"/>
        </w:rPr>
        <w:t xml:space="preserve">®</w:t>
      </w:r>
      <w:r>
        <w:rPr>
          <w:rFonts w:ascii="Arial" w:cs="Arial" w:hAnsi="Arial"/>
          <w:lang w:val="fr-fr"/>
          <w:b w:val="0"/>
          <w:bCs w:val="0"/>
          <w:i w:val="0"/>
          <w:iCs w:val="0"/>
          <w:u w:val="none"/>
          <w:vertAlign w:val="baseline"/>
          <w:rtl w:val="0"/>
        </w:rPr>
        <w:t xml:space="preserve">), intégrée de manière parfaitement protégée dans les montants latéraux de la porte. La barrière lumineuse agit </w:t>
      </w:r>
      <w:r>
        <w:rPr>
          <w:rFonts w:ascii="Arial" w:cs="Arial" w:hAnsi="Arial"/>
          <w:lang w:val="fr-fr"/>
          <w:b w:val="0"/>
          <w:bCs w:val="0"/>
          <w:i w:val="0"/>
          <w:iCs w:val="0"/>
          <w:u w:val="single"/>
          <w:vertAlign w:val="baseline"/>
          <w:rtl w:val="0"/>
        </w:rPr>
        <w:t xml:space="preserve">directement</w:t>
      </w:r>
      <w:r>
        <w:rPr>
          <w:rFonts w:ascii="Arial" w:cs="Arial" w:hAnsi="Arial"/>
          <w:lang w:val="fr-fr"/>
          <w:b w:val="0"/>
          <w:bCs w:val="0"/>
          <w:i w:val="0"/>
          <w:iCs w:val="0"/>
          <w:u w:val="none"/>
          <w:vertAlign w:val="baseline"/>
          <w:rtl w:val="0"/>
        </w:rPr>
        <w:t xml:space="preserve"> au niveau de la fermeture de porte et génère un </w:t>
      </w:r>
      <w:r>
        <w:rPr>
          <w:rFonts w:ascii="Arial" w:cs="Arial" w:hAnsi="Arial"/>
          <w:lang w:val="fr-fr"/>
          <w:b w:val="0"/>
          <w:bCs w:val="0"/>
          <w:i w:val="0"/>
          <w:iCs w:val="0"/>
          <w:u w:val="single"/>
          <w:vertAlign w:val="baseline"/>
          <w:rtl w:val="0"/>
        </w:rPr>
        <w:t xml:space="preserve">rideau lumineux infrarouge</w:t>
      </w:r>
      <w:r>
        <w:rPr>
          <w:rFonts w:ascii="Arial" w:cs="Arial" w:hAnsi="Arial"/>
          <w:lang w:val="fr-fr"/>
          <w:b w:val="0"/>
          <w:bCs w:val="0"/>
          <w:i w:val="0"/>
          <w:iCs w:val="0"/>
          <w:u w:val="none"/>
          <w:vertAlign w:val="baseline"/>
          <w:rtl w:val="0"/>
        </w:rPr>
        <w:t xml:space="preserve"> sur presque </w:t>
      </w:r>
      <w:r>
        <w:rPr>
          <w:rFonts w:ascii="Arial" w:cs="Arial" w:hAnsi="Arial"/>
          <w:lang w:val="fr-fr"/>
          <w:b w:val="0"/>
          <w:bCs w:val="0"/>
          <w:i w:val="0"/>
          <w:iCs w:val="0"/>
          <w:u w:val="single"/>
          <w:vertAlign w:val="baseline"/>
          <w:rtl w:val="0"/>
        </w:rPr>
        <w:t xml:space="preserve">toute la surface</w:t>
      </w:r>
      <w:r>
        <w:rPr>
          <w:rFonts w:ascii="Arial" w:cs="Arial" w:hAnsi="Arial"/>
          <w:lang w:val="fr-fr"/>
          <w:b w:val="0"/>
          <w:bCs w:val="0"/>
          <w:i w:val="0"/>
          <w:iCs w:val="0"/>
          <w:u w:val="none"/>
          <w:vertAlign w:val="baseline"/>
          <w:rtl w:val="0"/>
        </w:rPr>
        <w:t xml:space="preserve"> jusqu’à une hauteur de 2,5 m. Des obstacles sont détectés </w:t>
      </w:r>
      <w:r>
        <w:rPr>
          <w:rFonts w:ascii="Arial" w:cs="Arial" w:hAnsi="Arial"/>
          <w:lang w:val="fr-fr"/>
          <w:b w:val="0"/>
          <w:bCs w:val="0"/>
          <w:i w:val="0"/>
          <w:iCs w:val="0"/>
          <w:u w:val="single"/>
          <w:vertAlign w:val="baseline"/>
          <w:rtl w:val="0"/>
        </w:rPr>
        <w:t xml:space="preserve">sans contact</w:t>
      </w:r>
      <w:r>
        <w:rPr>
          <w:rFonts w:ascii="Arial" w:cs="Arial" w:hAnsi="Arial"/>
          <w:lang w:val="fr-fr"/>
          <w:b w:val="0"/>
          <w:bCs w:val="0"/>
          <w:i w:val="0"/>
          <w:iCs w:val="0"/>
          <w:u w:val="none"/>
          <w:vertAlign w:val="baseline"/>
          <w:rtl w:val="0"/>
        </w:rPr>
        <w:t xml:space="preserve">. Le mouvement de fermeture s’arrête alors immédiatement. Le mode inversé peut ainsi être déclenché bien plus tôt. Barre palpeuse et/ou cellule(s) photoélectrique(s) sont inutiles.</w:t>
      </w:r>
    </w:p>
    <w:p w:rsidR="00080121" w:rsidRDefault="00080121" w:rsidP="00080121">
      <w:pPr>
        <w:ind w:right="170"/>
        <w:jc w:val="both"/>
        <w:rPr>
          <w:rFonts w:ascii="Arial" w:hAnsi="Arial"/>
        </w:rPr>
      </w:pPr>
    </w:p>
    <w:sectPr w:rsidR="00080121"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F4A" w:rsidRDefault="00941F4A">
      <w:pPr>
        <w:bidi w:val="0"/>
      </w:pPr>
      <w:r>
        <w:separator/>
      </w:r>
    </w:p>
  </w:endnote>
  <w:endnote w:type="continuationSeparator" w:id="0">
    <w:p w:rsidR="00941F4A" w:rsidRDefault="00941F4A">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200" w:rsidRDefault="000A6200" w:rsidP="000A6200">
    <w:pPr>
      <w:pStyle w:val="Fuzeile"/>
      <w:bidi w:val="0"/>
    </w:pPr>
    <w:r>
      <w:rPr>
        <w:lang w:val="fr-fr"/>
        <w:b w:val="0"/>
        <w:bCs w:val="0"/>
        <w:i w:val="0"/>
        <w:iCs w:val="0"/>
        <w:u w:val="none"/>
        <w:vertAlign w:val="baseline"/>
        <w:rtl w:val="0"/>
      </w:rPr>
      <w:t xml:space="preserve">12/18 Sous réserve de modifications techniques</w:t>
    </w:r>
  </w:p>
  <w:p w:rsidR="000A6200" w:rsidRDefault="000A6200">
    <w:pPr>
      <w:pStyle w:val="Fuzeile"/>
    </w:pPr>
  </w:p>
  <w:p w:rsidR="000A6200" w:rsidRDefault="000A62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F4A" w:rsidRDefault="00941F4A">
      <w:pPr>
        <w:bidi w:val="0"/>
      </w:pPr>
      <w:r>
        <w:separator/>
      </w:r>
    </w:p>
  </w:footnote>
  <w:footnote w:type="continuationSeparator" w:id="0">
    <w:p w:rsidR="00941F4A" w:rsidRDefault="00941F4A">
      <w:pPr>
        <w:bidi w:val="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113DE"/>
    <w:rsid w:val="00031A06"/>
    <w:rsid w:val="00080121"/>
    <w:rsid w:val="000A6200"/>
    <w:rsid w:val="00197275"/>
    <w:rsid w:val="001A393D"/>
    <w:rsid w:val="001F77FB"/>
    <w:rsid w:val="0024223F"/>
    <w:rsid w:val="00310846"/>
    <w:rsid w:val="003370F4"/>
    <w:rsid w:val="00344C8F"/>
    <w:rsid w:val="00350CCC"/>
    <w:rsid w:val="0042203F"/>
    <w:rsid w:val="004A4C86"/>
    <w:rsid w:val="005F54A8"/>
    <w:rsid w:val="00660BD2"/>
    <w:rsid w:val="006836FF"/>
    <w:rsid w:val="006910B3"/>
    <w:rsid w:val="006926FD"/>
    <w:rsid w:val="006C2A1A"/>
    <w:rsid w:val="006F517A"/>
    <w:rsid w:val="00720DDA"/>
    <w:rsid w:val="00734D40"/>
    <w:rsid w:val="00752BF3"/>
    <w:rsid w:val="007667FB"/>
    <w:rsid w:val="007A0E26"/>
    <w:rsid w:val="007C2B68"/>
    <w:rsid w:val="00815BED"/>
    <w:rsid w:val="00816CFB"/>
    <w:rsid w:val="00840294"/>
    <w:rsid w:val="00885073"/>
    <w:rsid w:val="008A2B4F"/>
    <w:rsid w:val="008B2F12"/>
    <w:rsid w:val="008C1649"/>
    <w:rsid w:val="008F1480"/>
    <w:rsid w:val="00941F4A"/>
    <w:rsid w:val="00986BAB"/>
    <w:rsid w:val="00992CDA"/>
    <w:rsid w:val="009D78A9"/>
    <w:rsid w:val="00A73881"/>
    <w:rsid w:val="00AC787B"/>
    <w:rsid w:val="00AD6F4C"/>
    <w:rsid w:val="00BE6D8C"/>
    <w:rsid w:val="00C01DDB"/>
    <w:rsid w:val="00C44FD1"/>
    <w:rsid w:val="00C51EDA"/>
    <w:rsid w:val="00C63C70"/>
    <w:rsid w:val="00C82013"/>
    <w:rsid w:val="00CA5BF6"/>
    <w:rsid w:val="00CB1536"/>
    <w:rsid w:val="00CF30E2"/>
    <w:rsid w:val="00CF4C98"/>
    <w:rsid w:val="00E631A6"/>
    <w:rsid w:val="00E63436"/>
    <w:rsid w:val="00EA5448"/>
    <w:rsid w:val="00EA78E2"/>
    <w:rsid w:val="00ED6420"/>
    <w:rsid w:val="00FD52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2671BFB-6D2C-4800-A408-69F638FC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rsid w:val="004A4C86"/>
    <w:pPr>
      <w:tabs>
        <w:tab w:val="center" w:pos="4536"/>
        <w:tab w:val="right" w:pos="9072"/>
      </w:tabs>
    </w:pPr>
  </w:style>
  <w:style w:type="paragraph" w:styleId="Blocktext">
    <w:name w:val="Block Text"/>
    <w:basedOn w:val="Standard"/>
    <w:unhideWhenUsed/>
    <w:rsid w:val="00816CFB"/>
    <w:pPr>
      <w:ind w:left="227" w:right="594"/>
      <w:jc w:val="both"/>
    </w:pPr>
    <w:rPr>
      <w:rFonts w:ascii="Arial" w:hAnsi="Arial"/>
    </w:rPr>
  </w:style>
  <w:style w:type="character" w:customStyle="1" w:styleId="FuzeileZchn">
    <w:name w:val="Fußzeile Zchn"/>
    <w:link w:val="Fuzeile"/>
    <w:rsid w:val="000A6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638277">
      <w:bodyDiv w:val="1"/>
      <w:marLeft w:val="0"/>
      <w:marRight w:val="0"/>
      <w:marTop w:val="0"/>
      <w:marBottom w:val="0"/>
      <w:divBdr>
        <w:top w:val="none" w:sz="0" w:space="0" w:color="auto"/>
        <w:left w:val="none" w:sz="0" w:space="0" w:color="auto"/>
        <w:bottom w:val="none" w:sz="0" w:space="0" w:color="auto"/>
        <w:right w:val="none" w:sz="0" w:space="0" w:color="auto"/>
      </w:divBdr>
    </w:div>
    <w:div w:id="170933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2008-11-05T09:58:00Z</cp:lastPrinted>
  <dcterms:created xsi:type="dcterms:W3CDTF">2018-11-26T06:37:00Z</dcterms:created>
  <dcterms:modified xsi:type="dcterms:W3CDTF">2018-11-26T06:37:00Z</dcterms:modified>
</cp:coreProperties>
</file>