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97007" w14:textId="798909CD" w:rsidR="002A1038" w:rsidRDefault="002A1038" w:rsidP="002A1038">
      <w:pPr>
        <w:spacing w:line="360" w:lineRule="auto"/>
        <w:rPr>
          <w:rFonts w:ascii="Arial" w:hAnsi="Arial"/>
          <w:b/>
        </w:rPr>
      </w:pPr>
      <w:r>
        <w:rPr>
          <w:rFonts w:ascii="Arial" w:hAnsi="Arial"/>
          <w:b/>
          <w:bCs/>
          <w:u w:val="single"/>
          <w:lang w:val="fr-FR"/>
        </w:rPr>
        <w:t>PORTE RAPIDE À ENROULEMENT</w:t>
      </w:r>
      <w:r>
        <w:rPr>
          <w:rFonts w:ascii="Arial" w:hAnsi="Arial"/>
          <w:b/>
          <w:bCs/>
          <w:lang w:val="fr-FR"/>
        </w:rPr>
        <w:t>, type « EFA-SRT</w:t>
      </w:r>
      <w:r>
        <w:rPr>
          <w:rFonts w:ascii="Arial" w:hAnsi="Arial"/>
          <w:b/>
          <w:bCs/>
          <w:vertAlign w:val="superscript"/>
          <w:lang w:val="fr-FR"/>
        </w:rPr>
        <w:t>®</w:t>
      </w:r>
      <w:r>
        <w:rPr>
          <w:rFonts w:ascii="Arial" w:hAnsi="Arial"/>
          <w:b/>
          <w:bCs/>
          <w:lang w:val="fr-FR"/>
        </w:rPr>
        <w:t>-S Soft Touch »</w:t>
      </w:r>
    </w:p>
    <w:p w14:paraId="645B987A" w14:textId="77777777" w:rsidR="002A1038" w:rsidRDefault="002A1038" w:rsidP="002A1038">
      <w:pPr>
        <w:ind w:left="113" w:right="113" w:hanging="113"/>
        <w:jc w:val="both"/>
        <w:rPr>
          <w:rFonts w:ascii="Arial" w:hAnsi="Arial"/>
        </w:rPr>
      </w:pPr>
    </w:p>
    <w:p w14:paraId="28F57BA7" w14:textId="77777777" w:rsidR="002A1038" w:rsidRDefault="002A1038" w:rsidP="002A1038">
      <w:pPr>
        <w:ind w:left="113" w:right="113" w:hanging="113"/>
        <w:jc w:val="both"/>
        <w:rPr>
          <w:rFonts w:ascii="Arial" w:hAnsi="Arial"/>
        </w:rPr>
      </w:pPr>
      <w:r>
        <w:rPr>
          <w:rFonts w:ascii="Arial" w:hAnsi="Arial"/>
          <w:lang w:val="fr-FR"/>
        </w:rPr>
        <w:t>Fabrication, livraison et montage de :</w:t>
      </w:r>
    </w:p>
    <w:p w14:paraId="6C958EC1" w14:textId="77777777" w:rsidR="002A1038" w:rsidRDefault="002A1038" w:rsidP="002A1038">
      <w:pPr>
        <w:ind w:left="113" w:right="113" w:hanging="113"/>
        <w:jc w:val="both"/>
        <w:rPr>
          <w:rFonts w:ascii="Arial" w:hAnsi="Arial"/>
        </w:rPr>
      </w:pPr>
    </w:p>
    <w:p w14:paraId="40928131" w14:textId="77777777" w:rsidR="002A1038" w:rsidRDefault="002A1038" w:rsidP="002A1038">
      <w:pPr>
        <w:ind w:right="113"/>
        <w:jc w:val="both"/>
        <w:rPr>
          <w:rFonts w:ascii="Arial" w:hAnsi="Arial"/>
        </w:rPr>
      </w:pPr>
      <w:r>
        <w:rPr>
          <w:rFonts w:ascii="Arial" w:hAnsi="Arial"/>
          <w:lang w:val="fr-FR"/>
        </w:rPr>
        <w:t>Porte rapide à enroulement type « EFA-SRT</w:t>
      </w:r>
      <w:r>
        <w:rPr>
          <w:rFonts w:ascii="Arial" w:hAnsi="Arial"/>
          <w:sz w:val="22"/>
          <w:szCs w:val="22"/>
          <w:lang w:val="fr-FR"/>
        </w:rPr>
        <w:t>®</w:t>
      </w:r>
      <w:r>
        <w:rPr>
          <w:rFonts w:ascii="Arial" w:hAnsi="Arial"/>
          <w:lang w:val="fr-FR"/>
        </w:rPr>
        <w:t>-Soft Touch » avec entraînement de porte haute puissance électromécanique pour une utilisation en intérieur non exposée au vent.</w:t>
      </w:r>
    </w:p>
    <w:p w14:paraId="4F731109" w14:textId="77777777" w:rsidR="002A1038" w:rsidRDefault="002A1038" w:rsidP="002A1038">
      <w:pPr>
        <w:ind w:right="113"/>
        <w:jc w:val="both"/>
        <w:rPr>
          <w:rFonts w:ascii="Arial" w:hAnsi="Arial"/>
        </w:rPr>
      </w:pPr>
    </w:p>
    <w:p w14:paraId="0C61771D" w14:textId="77777777" w:rsidR="002A1038" w:rsidRDefault="002A1038" w:rsidP="002A1038">
      <w:pPr>
        <w:ind w:right="57"/>
        <w:jc w:val="both"/>
        <w:rPr>
          <w:rFonts w:ascii="Arial" w:hAnsi="Arial"/>
        </w:rPr>
      </w:pPr>
      <w:r>
        <w:rPr>
          <w:rFonts w:ascii="Arial" w:hAnsi="Arial"/>
          <w:lang w:val="fr-FR"/>
        </w:rPr>
        <w:t xml:space="preserve">Équipée en série de raccords à encliqueter des deux côtés à la fin du tablier afin d’éviter de manière fiable les dommages dus à un collision accidentelle : En cas de collision, l’élément d’extrémité du tablier peut être extrait des deux côtés de ses guidages. Des capteurs signalent alors le "crash" à la commande, de sorte que le trajet de la porte est immédiatement stoppé et qu’une remontée de l’installation de porte est déclenchée sans délai. Déclenché par un actionnement manuel de la commande, la porte se déplace dans la position « portail fermé » dans laquelle l’enclenchement se fait automatiquement. Grâce à la fermeture du tablier de porte facilement déformable et hautement flexible, une barre palpeuse de sécurité n’est pas nécessaire. </w:t>
      </w:r>
    </w:p>
    <w:p w14:paraId="12235C25" w14:textId="77777777" w:rsidR="002A1038" w:rsidRDefault="002A1038" w:rsidP="002A1038">
      <w:pPr>
        <w:ind w:left="113" w:right="113" w:hanging="113"/>
        <w:jc w:val="both"/>
        <w:rPr>
          <w:rFonts w:ascii="Arial" w:hAnsi="Arial"/>
        </w:rPr>
      </w:pPr>
    </w:p>
    <w:p w14:paraId="7192AB4A" w14:textId="77777777" w:rsidR="002A1038" w:rsidRDefault="002A1038" w:rsidP="002A1038">
      <w:pPr>
        <w:ind w:right="57"/>
        <w:jc w:val="both"/>
        <w:rPr>
          <w:rFonts w:ascii="Arial" w:hAnsi="Arial"/>
        </w:rPr>
      </w:pPr>
      <w:r>
        <w:rPr>
          <w:rFonts w:ascii="Arial" w:hAnsi="Arial"/>
          <w:lang w:val="fr-FR"/>
        </w:rPr>
        <w:t>Pour l’équilibrage de poids du tablier, la tension du tablier et l’ouverture manuelle de la porte en cas de panne de courant, il faut intégrer un mécanisme à ressorts de traction spécial dans les montants latéraux de porte. Ce dispositif de contre-traction durable et extrêmement facile à entretenir est obligatoire. Les constructions avec des ressorts de torsion ne sont pas autorisées.</w:t>
      </w:r>
    </w:p>
    <w:p w14:paraId="22C22A66" w14:textId="77777777" w:rsidR="002A1038" w:rsidRDefault="002A1038" w:rsidP="002A1038">
      <w:pPr>
        <w:ind w:right="57"/>
        <w:jc w:val="both"/>
        <w:rPr>
          <w:rFonts w:ascii="Arial" w:hAnsi="Arial"/>
        </w:rPr>
      </w:pPr>
      <w:r>
        <w:rPr>
          <w:rFonts w:ascii="Arial" w:hAnsi="Arial"/>
          <w:lang w:val="fr-FR"/>
        </w:rPr>
        <w:t>Construction de montants d’acier galvanisée sendzimir en série.</w:t>
      </w:r>
    </w:p>
    <w:p w14:paraId="0DE14FEB" w14:textId="77777777" w:rsidR="002A1038" w:rsidRDefault="002A1038" w:rsidP="002A1038">
      <w:pPr>
        <w:ind w:right="113"/>
        <w:jc w:val="both"/>
        <w:rPr>
          <w:rFonts w:ascii="Arial" w:hAnsi="Arial"/>
        </w:rPr>
      </w:pPr>
    </w:p>
    <w:p w14:paraId="17C39B14" w14:textId="77777777" w:rsidR="002A1038" w:rsidRDefault="002A1038" w:rsidP="002A1038">
      <w:pPr>
        <w:ind w:right="57"/>
        <w:jc w:val="both"/>
        <w:rPr>
          <w:rFonts w:ascii="Arial" w:hAnsi="Arial"/>
        </w:rPr>
      </w:pPr>
      <w:r>
        <w:rPr>
          <w:rFonts w:ascii="Arial" w:hAnsi="Arial"/>
          <w:lang w:val="fr-FR"/>
        </w:rPr>
        <w:t xml:space="preserve">Le tablier est constitué d’un polyester renforcé par un tissu de 0,8 mm d’épaisseur, qui est enroulé sur un arbre monté horizontalement. En outre, les guidages de tablier latéraux doivent être équipés de boutons spéciaux de protection contre le vent. </w:t>
      </w:r>
    </w:p>
    <w:p w14:paraId="4621044A" w14:textId="77777777" w:rsidR="002A1038" w:rsidRDefault="002A1038" w:rsidP="002A1038">
      <w:pPr>
        <w:ind w:right="113"/>
        <w:jc w:val="both"/>
        <w:rPr>
          <w:rFonts w:ascii="Arial" w:hAnsi="Arial"/>
        </w:rPr>
      </w:pPr>
    </w:p>
    <w:p w14:paraId="7BAE634B" w14:textId="77777777" w:rsidR="002A1038" w:rsidRDefault="002A1038" w:rsidP="002A1038">
      <w:pPr>
        <w:ind w:right="170"/>
        <w:jc w:val="both"/>
        <w:rPr>
          <w:rFonts w:ascii="Arial" w:hAnsi="Arial"/>
        </w:rPr>
      </w:pPr>
      <w:r>
        <w:rPr>
          <w:rFonts w:ascii="Arial" w:hAnsi="Arial"/>
          <w:lang w:val="fr-FR"/>
        </w:rPr>
        <w:t>L’</w:t>
      </w:r>
      <w:r>
        <w:rPr>
          <w:rFonts w:ascii="Arial" w:hAnsi="Arial"/>
          <w:b/>
          <w:bCs/>
          <w:lang w:val="fr-FR"/>
        </w:rPr>
        <w:t>ENTRAÎNEMENT DE LA PORTE</w:t>
      </w:r>
      <w:r>
        <w:rPr>
          <w:rFonts w:ascii="Arial" w:hAnsi="Arial"/>
          <w:lang w:val="fr-FR"/>
        </w:rPr>
        <w:t xml:space="preserve"> s’effectue à l’aide d’un motoréducteur-frein qui est formé comme un moteur haute fréquence. Les positions de la porte sont saisies en permanence à l’aide de capteurs de proximité inductifs sans usure, les positions finales étant déterminées par voie électronique. Les fins de course électromécaniques ne sont pas autorisées dans ce cas de figure.</w:t>
      </w:r>
    </w:p>
    <w:p w14:paraId="6C244155" w14:textId="77777777" w:rsidR="002A1038" w:rsidRDefault="002A1038" w:rsidP="002A1038">
      <w:pPr>
        <w:ind w:right="170"/>
        <w:jc w:val="both"/>
        <w:rPr>
          <w:rFonts w:ascii="Arial" w:hAnsi="Arial"/>
          <w:b/>
        </w:rPr>
      </w:pPr>
    </w:p>
    <w:p w14:paraId="45EB5B48" w14:textId="77777777" w:rsidR="002A1038" w:rsidRDefault="002A1038" w:rsidP="002A1038">
      <w:pPr>
        <w:ind w:right="170"/>
        <w:jc w:val="both"/>
        <w:rPr>
          <w:rFonts w:ascii="Arial" w:hAnsi="Arial"/>
          <w:b/>
        </w:rPr>
      </w:pPr>
    </w:p>
    <w:p w14:paraId="7119A74E" w14:textId="03BC6D10" w:rsidR="002A1038" w:rsidRDefault="002A1038" w:rsidP="002A1038">
      <w:pPr>
        <w:tabs>
          <w:tab w:val="left" w:pos="4140"/>
        </w:tabs>
        <w:ind w:right="170"/>
        <w:jc w:val="both"/>
        <w:rPr>
          <w:rFonts w:ascii="Arial" w:hAnsi="Arial"/>
          <w:b/>
        </w:rPr>
      </w:pPr>
      <w:r>
        <w:rPr>
          <w:rFonts w:ascii="Arial" w:hAnsi="Arial"/>
          <w:b/>
          <w:bCs/>
          <w:lang w:val="fr-FR"/>
        </w:rPr>
        <w:t>VITESSE D’OUVERTURE :</w:t>
      </w:r>
      <w:r>
        <w:rPr>
          <w:rFonts w:ascii="Arial" w:hAnsi="Arial"/>
          <w:b/>
          <w:bCs/>
          <w:lang w:val="fr-FR"/>
        </w:rPr>
        <w:tab/>
        <w:t>jusqu’à env. 2,0 m/sec.</w:t>
      </w:r>
    </w:p>
    <w:p w14:paraId="0034467D" w14:textId="73726EDD" w:rsidR="002A1038" w:rsidRDefault="002A1038" w:rsidP="002A1038">
      <w:pPr>
        <w:tabs>
          <w:tab w:val="left" w:pos="4140"/>
        </w:tabs>
        <w:ind w:right="170"/>
        <w:jc w:val="both"/>
        <w:rPr>
          <w:rFonts w:ascii="Arial" w:hAnsi="Arial"/>
        </w:rPr>
      </w:pPr>
      <w:r>
        <w:rPr>
          <w:rFonts w:ascii="Arial" w:hAnsi="Arial"/>
          <w:b/>
          <w:bCs/>
          <w:lang w:val="fr-FR"/>
        </w:rPr>
        <w:t>VITESSE DE TABLIER max. :</w:t>
      </w:r>
      <w:r>
        <w:rPr>
          <w:rFonts w:ascii="Arial" w:hAnsi="Arial"/>
          <w:b/>
          <w:bCs/>
          <w:lang w:val="fr-FR"/>
        </w:rPr>
        <w:tab/>
        <w:t>jusqu’à env. 2,5 m/sec.</w:t>
      </w:r>
    </w:p>
    <w:p w14:paraId="7080D34B" w14:textId="77777777" w:rsidR="002A1038" w:rsidRDefault="002A1038" w:rsidP="002A1038">
      <w:pPr>
        <w:tabs>
          <w:tab w:val="left" w:pos="4140"/>
        </w:tabs>
        <w:ind w:right="170"/>
        <w:jc w:val="both"/>
        <w:rPr>
          <w:rFonts w:ascii="Arial" w:hAnsi="Arial"/>
        </w:rPr>
      </w:pPr>
      <w:r>
        <w:rPr>
          <w:rFonts w:ascii="Arial" w:hAnsi="Arial"/>
          <w:lang w:val="fr-FR"/>
        </w:rPr>
        <w:tab/>
        <w:t>(en fonction de la taille de la porte)</w:t>
      </w:r>
    </w:p>
    <w:p w14:paraId="1936D2B2" w14:textId="7BA26B3D" w:rsidR="002A1038" w:rsidRDefault="002A1038" w:rsidP="002A1038">
      <w:pPr>
        <w:tabs>
          <w:tab w:val="left" w:pos="4140"/>
        </w:tabs>
        <w:ind w:right="170"/>
        <w:jc w:val="both"/>
        <w:rPr>
          <w:rFonts w:ascii="Arial" w:hAnsi="Arial"/>
          <w:b/>
        </w:rPr>
      </w:pPr>
      <w:r>
        <w:rPr>
          <w:rFonts w:ascii="Arial" w:hAnsi="Arial"/>
          <w:b/>
          <w:bCs/>
          <w:lang w:val="fr-FR"/>
        </w:rPr>
        <w:t>VITESSE DE FERMETURE :</w:t>
      </w:r>
      <w:r>
        <w:rPr>
          <w:rFonts w:ascii="Arial" w:hAnsi="Arial"/>
          <w:b/>
          <w:bCs/>
          <w:lang w:val="fr-FR"/>
        </w:rPr>
        <w:tab/>
        <w:t>jusqu’à env. 1,0 m/sec.</w:t>
      </w:r>
    </w:p>
    <w:p w14:paraId="673DAE7C" w14:textId="77777777" w:rsidR="002A1038" w:rsidRDefault="002A1038" w:rsidP="002A1038">
      <w:pPr>
        <w:ind w:right="170"/>
        <w:jc w:val="both"/>
        <w:rPr>
          <w:rFonts w:ascii="Arial" w:hAnsi="Arial"/>
          <w:b/>
        </w:rPr>
      </w:pPr>
    </w:p>
    <w:p w14:paraId="445BB140" w14:textId="77777777" w:rsidR="002A1038" w:rsidRDefault="002A1038" w:rsidP="002A1038">
      <w:pPr>
        <w:ind w:right="170"/>
        <w:jc w:val="both"/>
        <w:rPr>
          <w:rFonts w:ascii="Arial" w:hAnsi="Arial"/>
        </w:rPr>
      </w:pPr>
      <w:r>
        <w:rPr>
          <w:rFonts w:ascii="Arial" w:hAnsi="Arial"/>
          <w:lang w:val="fr-FR"/>
        </w:rPr>
        <w:t xml:space="preserve">La </w:t>
      </w:r>
      <w:r>
        <w:rPr>
          <w:rFonts w:ascii="Arial" w:hAnsi="Arial"/>
          <w:b/>
          <w:bCs/>
          <w:lang w:val="fr-FR"/>
        </w:rPr>
        <w:t xml:space="preserve">COMMANDE DE MICROPROCESSEUR </w:t>
      </w:r>
      <w:r>
        <w:rPr>
          <w:rFonts w:ascii="Arial" w:hAnsi="Arial"/>
          <w:lang w:val="fr-FR"/>
        </w:rPr>
        <w:t>est insérée avec le variateur de fréquence intégré dans une armoire en plastique séparée, type de protection IP 65. Branchement électrique 230 V / 50 Hz sur place.</w:t>
      </w:r>
    </w:p>
    <w:p w14:paraId="0CABB4CD" w14:textId="77777777" w:rsidR="002A1038" w:rsidRDefault="002A1038" w:rsidP="002A1038">
      <w:pPr>
        <w:ind w:right="170"/>
        <w:jc w:val="both"/>
        <w:rPr>
          <w:rFonts w:ascii="Arial" w:hAnsi="Arial"/>
        </w:rPr>
      </w:pPr>
    </w:p>
    <w:p w14:paraId="3243DA11" w14:textId="77777777" w:rsidR="002A1038" w:rsidRDefault="002A1038" w:rsidP="002A1038">
      <w:pPr>
        <w:ind w:right="170"/>
        <w:jc w:val="both"/>
        <w:rPr>
          <w:rFonts w:ascii="Arial" w:hAnsi="Arial"/>
          <w:b/>
        </w:rPr>
      </w:pPr>
    </w:p>
    <w:p w14:paraId="70117D7D" w14:textId="77777777" w:rsidR="002A1038" w:rsidRDefault="002A1038" w:rsidP="002A1038">
      <w:pPr>
        <w:ind w:right="113"/>
        <w:jc w:val="both"/>
        <w:rPr>
          <w:rFonts w:ascii="Arial" w:hAnsi="Arial"/>
        </w:rPr>
      </w:pPr>
    </w:p>
    <w:p w14:paraId="6A0810E7" w14:textId="77777777" w:rsidR="002A1038" w:rsidRDefault="002A1038" w:rsidP="002A1038">
      <w:pPr>
        <w:ind w:right="170"/>
        <w:jc w:val="both"/>
        <w:rPr>
          <w:rFonts w:ascii="Arial" w:hAnsi="Arial"/>
        </w:rPr>
      </w:pPr>
      <w:r>
        <w:rPr>
          <w:rFonts w:ascii="Arial" w:hAnsi="Arial"/>
          <w:lang w:val="fr-FR"/>
        </w:rPr>
        <w:t>Les règlements selon la norme DIN EN 13241-1 sont respectés ;</w:t>
      </w:r>
    </w:p>
    <w:p w14:paraId="527D6EB8" w14:textId="77777777" w:rsidR="002A1038" w:rsidRDefault="002A1038" w:rsidP="002A1038">
      <w:pPr>
        <w:ind w:right="170"/>
        <w:jc w:val="both"/>
        <w:rPr>
          <w:rFonts w:ascii="Arial" w:hAnsi="Arial"/>
        </w:rPr>
      </w:pPr>
    </w:p>
    <w:p w14:paraId="310D6BE6" w14:textId="77777777" w:rsidR="002A1038" w:rsidRDefault="002A1038" w:rsidP="002A1038">
      <w:pPr>
        <w:ind w:right="169" w:hanging="27"/>
        <w:jc w:val="both"/>
        <w:rPr>
          <w:rFonts w:ascii="Arial" w:hAnsi="Arial"/>
        </w:rPr>
      </w:pPr>
    </w:p>
    <w:p w14:paraId="6AF13556" w14:textId="77777777" w:rsidR="002A1038" w:rsidRDefault="002A1038" w:rsidP="002A1038">
      <w:pPr>
        <w:ind w:right="170"/>
        <w:jc w:val="both"/>
        <w:rPr>
          <w:rFonts w:ascii="Arial" w:hAnsi="Arial"/>
        </w:rPr>
      </w:pPr>
      <w:r>
        <w:rPr>
          <w:rFonts w:ascii="Arial" w:hAnsi="Arial"/>
          <w:lang w:val="fr-FR"/>
        </w:rPr>
        <w:t>ouverture de passage libre</w:t>
      </w:r>
    </w:p>
    <w:p w14:paraId="42981BD4" w14:textId="77777777" w:rsidR="002A1038" w:rsidRDefault="002A1038" w:rsidP="002A1038">
      <w:pPr>
        <w:ind w:right="170"/>
        <w:jc w:val="both"/>
        <w:rPr>
          <w:rFonts w:ascii="Arial" w:hAnsi="Arial"/>
          <w:sz w:val="12"/>
          <w:szCs w:val="12"/>
        </w:rPr>
      </w:pPr>
    </w:p>
    <w:p w14:paraId="607069F5" w14:textId="77777777" w:rsidR="002A1038" w:rsidRDefault="002A1038" w:rsidP="002A1038">
      <w:pPr>
        <w:ind w:right="170"/>
        <w:jc w:val="both"/>
        <w:rPr>
          <w:rFonts w:ascii="Arial" w:hAnsi="Arial"/>
        </w:rPr>
      </w:pPr>
      <w:r>
        <w:rPr>
          <w:rFonts w:ascii="Arial" w:hAnsi="Arial"/>
          <w:lang w:val="fr-FR"/>
        </w:rPr>
        <w:t>Largeur = ............... mm  x  Hauteur = ............... mm</w:t>
      </w:r>
    </w:p>
    <w:p w14:paraId="539DC2F4" w14:textId="77777777" w:rsidR="002A1038" w:rsidRDefault="002A1038" w:rsidP="002A1038">
      <w:pPr>
        <w:ind w:right="170"/>
        <w:jc w:val="both"/>
        <w:rPr>
          <w:rFonts w:ascii="Arial" w:hAnsi="Arial"/>
        </w:rPr>
      </w:pPr>
    </w:p>
    <w:p w14:paraId="664CFA82" w14:textId="77777777" w:rsidR="002A1038" w:rsidRDefault="002A1038" w:rsidP="002A1038">
      <w:pPr>
        <w:ind w:right="170"/>
        <w:jc w:val="both"/>
        <w:rPr>
          <w:rFonts w:ascii="Arial" w:hAnsi="Arial"/>
          <w:b/>
        </w:rPr>
      </w:pPr>
      <w:r>
        <w:rPr>
          <w:rFonts w:ascii="Arial" w:hAnsi="Arial"/>
          <w:b/>
          <w:bCs/>
          <w:lang w:val="fr-FR"/>
        </w:rPr>
        <w:t>Références du fabricant :</w:t>
      </w:r>
    </w:p>
    <w:p w14:paraId="32332E56" w14:textId="77777777" w:rsidR="002A1038" w:rsidRDefault="002A1038" w:rsidP="002A1038">
      <w:pPr>
        <w:ind w:right="170"/>
        <w:jc w:val="both"/>
        <w:rPr>
          <w:rFonts w:ascii="Arial" w:hAnsi="Arial"/>
        </w:rPr>
      </w:pPr>
      <w:r>
        <w:rPr>
          <w:rFonts w:ascii="Arial" w:hAnsi="Arial"/>
          <w:lang w:val="fr-FR"/>
        </w:rPr>
        <w:t>EFAFLEX Tor- und Sicherheitssysteme GmbH &amp; Co. KG</w:t>
      </w:r>
    </w:p>
    <w:p w14:paraId="70855C4D" w14:textId="77777777" w:rsidR="002A1038" w:rsidRDefault="002A1038" w:rsidP="002A1038">
      <w:pPr>
        <w:ind w:right="170"/>
        <w:jc w:val="both"/>
        <w:rPr>
          <w:rFonts w:ascii="Arial" w:hAnsi="Arial"/>
        </w:rPr>
      </w:pPr>
      <w:r>
        <w:rPr>
          <w:rFonts w:ascii="Arial" w:hAnsi="Arial"/>
          <w:lang w:val="fr-FR"/>
        </w:rPr>
        <w:t>www.efaflex.com</w:t>
      </w:r>
    </w:p>
    <w:p w14:paraId="4732E59E" w14:textId="77777777" w:rsidR="002A1038" w:rsidRDefault="002A1038" w:rsidP="002A1038">
      <w:pPr>
        <w:ind w:right="170"/>
        <w:jc w:val="both"/>
        <w:rPr>
          <w:rFonts w:ascii="Arial" w:hAnsi="Arial"/>
        </w:rPr>
      </w:pPr>
    </w:p>
    <w:p w14:paraId="069FAAC1" w14:textId="77777777" w:rsidR="002A1038" w:rsidRDefault="002A1038" w:rsidP="002A1038">
      <w:pPr>
        <w:ind w:right="170"/>
        <w:jc w:val="both"/>
        <w:rPr>
          <w:rFonts w:ascii="Arial" w:hAnsi="Arial"/>
        </w:rPr>
      </w:pPr>
    </w:p>
    <w:p w14:paraId="3666651D" w14:textId="77777777" w:rsidR="002A1038" w:rsidRDefault="002A1038" w:rsidP="002A1038">
      <w:pPr>
        <w:ind w:right="170"/>
        <w:jc w:val="both"/>
        <w:rPr>
          <w:rFonts w:ascii="Arial" w:hAnsi="Arial"/>
        </w:rPr>
      </w:pPr>
    </w:p>
    <w:p w14:paraId="1141C974" w14:textId="20F90444" w:rsidR="002A1038" w:rsidRDefault="002A1038" w:rsidP="002A1038">
      <w:pPr>
        <w:ind w:right="170"/>
        <w:jc w:val="both"/>
        <w:rPr>
          <w:rFonts w:ascii="Arial" w:hAnsi="Arial"/>
        </w:rPr>
      </w:pPr>
    </w:p>
    <w:p w14:paraId="0C2556FC" w14:textId="0F86B075" w:rsidR="002A1038" w:rsidRDefault="002A1038" w:rsidP="002A1038">
      <w:pPr>
        <w:ind w:right="170"/>
        <w:jc w:val="both"/>
        <w:rPr>
          <w:rFonts w:ascii="Arial" w:hAnsi="Arial"/>
        </w:rPr>
      </w:pPr>
    </w:p>
    <w:p w14:paraId="3D2C20BE" w14:textId="77777777" w:rsidR="002A1038" w:rsidRDefault="002A1038" w:rsidP="002A1038">
      <w:pPr>
        <w:ind w:right="170"/>
        <w:jc w:val="both"/>
        <w:rPr>
          <w:rFonts w:ascii="Arial" w:hAnsi="Arial"/>
        </w:rPr>
      </w:pPr>
    </w:p>
    <w:p w14:paraId="23DA184C" w14:textId="77777777" w:rsidR="002A1038" w:rsidRDefault="002A1038" w:rsidP="002A1038">
      <w:pPr>
        <w:ind w:right="170"/>
        <w:jc w:val="both"/>
        <w:rPr>
          <w:rFonts w:ascii="Arial" w:hAnsi="Arial"/>
        </w:rPr>
      </w:pPr>
    </w:p>
    <w:p w14:paraId="00E2D515" w14:textId="77777777" w:rsidR="002A1038" w:rsidRDefault="002A1038" w:rsidP="002A1038">
      <w:pPr>
        <w:ind w:right="169"/>
        <w:jc w:val="both"/>
        <w:rPr>
          <w:rFonts w:ascii="Arial" w:hAnsi="Arial"/>
          <w:b/>
          <w:u w:val="single"/>
        </w:rPr>
      </w:pPr>
    </w:p>
    <w:p w14:paraId="19154652" w14:textId="77777777" w:rsidR="002A1038" w:rsidRDefault="002A1038" w:rsidP="002A1038">
      <w:pPr>
        <w:ind w:right="169"/>
        <w:jc w:val="both"/>
        <w:rPr>
          <w:rFonts w:ascii="Arial" w:hAnsi="Arial"/>
          <w:b/>
          <w:sz w:val="16"/>
          <w:szCs w:val="16"/>
          <w:u w:val="single"/>
        </w:rPr>
      </w:pPr>
    </w:p>
    <w:p w14:paraId="60377A66" w14:textId="77777777" w:rsidR="002A1038" w:rsidRDefault="002A1038" w:rsidP="002A1038">
      <w:pPr>
        <w:ind w:right="169"/>
        <w:jc w:val="both"/>
        <w:rPr>
          <w:rFonts w:ascii="Arial" w:hAnsi="Arial"/>
          <w:b/>
          <w:u w:val="single"/>
        </w:rPr>
      </w:pPr>
      <w:r>
        <w:rPr>
          <w:rFonts w:ascii="Arial" w:hAnsi="Arial"/>
          <w:b/>
          <w:bCs/>
          <w:u w:val="single"/>
          <w:lang w:val="fr-FR"/>
        </w:rPr>
        <w:lastRenderedPageBreak/>
        <w:t>OPTIONS pour porte rapide à enroulement « EFA-SRT</w:t>
      </w:r>
      <w:r>
        <w:rPr>
          <w:rFonts w:ascii="Arial" w:hAnsi="Arial"/>
          <w:b/>
          <w:bCs/>
          <w:u w:val="single"/>
          <w:vertAlign w:val="superscript"/>
          <w:lang w:val="fr-FR"/>
        </w:rPr>
        <w:t>®</w:t>
      </w:r>
      <w:r>
        <w:rPr>
          <w:rFonts w:ascii="Arial" w:hAnsi="Arial"/>
          <w:b/>
          <w:bCs/>
          <w:u w:val="single"/>
          <w:lang w:val="fr-FR"/>
        </w:rPr>
        <w:t>-Soft Touch »</w:t>
      </w:r>
    </w:p>
    <w:p w14:paraId="4B5F92C1" w14:textId="77777777" w:rsidR="002A1038" w:rsidRDefault="002A1038" w:rsidP="002A1038">
      <w:pPr>
        <w:ind w:right="169"/>
        <w:jc w:val="both"/>
        <w:rPr>
          <w:rFonts w:ascii="Arial" w:hAnsi="Arial"/>
          <w:b/>
          <w:u w:val="single"/>
        </w:rPr>
      </w:pPr>
    </w:p>
    <w:p w14:paraId="2C8DC34A" w14:textId="77777777" w:rsidR="002A1038" w:rsidRDefault="002A1038" w:rsidP="002A1038">
      <w:pPr>
        <w:ind w:right="169"/>
        <w:jc w:val="both"/>
        <w:rPr>
          <w:rFonts w:ascii="Arial" w:hAnsi="Arial"/>
          <w:b/>
          <w:u w:val="single"/>
        </w:rPr>
      </w:pPr>
    </w:p>
    <w:p w14:paraId="5589CB2B" w14:textId="77777777" w:rsidR="002A1038" w:rsidRDefault="002A1038" w:rsidP="002A1038">
      <w:pPr>
        <w:ind w:left="57" w:right="57"/>
        <w:jc w:val="both"/>
        <w:rPr>
          <w:rFonts w:ascii="Arial" w:hAnsi="Arial"/>
          <w:b/>
        </w:rPr>
      </w:pPr>
      <w:r>
        <w:rPr>
          <w:rFonts w:ascii="Arial" w:hAnsi="Arial"/>
          <w:b/>
          <w:bCs/>
          <w:lang w:val="fr-FR"/>
        </w:rPr>
        <w:t>Habillage de l’arbre d’enroulement / moteur :</w:t>
      </w:r>
    </w:p>
    <w:p w14:paraId="22440FEF" w14:textId="77777777" w:rsidR="002A1038" w:rsidRDefault="002A1038" w:rsidP="002A1038">
      <w:pPr>
        <w:ind w:left="57" w:right="57"/>
        <w:jc w:val="both"/>
        <w:rPr>
          <w:rFonts w:ascii="Arial" w:hAnsi="Arial"/>
          <w:b/>
        </w:rPr>
      </w:pPr>
    </w:p>
    <w:p w14:paraId="2823F91A" w14:textId="77777777" w:rsidR="002A1038" w:rsidRDefault="002A1038" w:rsidP="002A1038">
      <w:pPr>
        <w:ind w:left="57" w:right="57"/>
        <w:jc w:val="both"/>
        <w:rPr>
          <w:rFonts w:ascii="Arial" w:hAnsi="Arial"/>
        </w:rPr>
      </w:pPr>
      <w:r>
        <w:rPr>
          <w:rFonts w:ascii="Arial" w:hAnsi="Arial"/>
          <w:lang w:val="fr-FR"/>
        </w:rPr>
        <w:t>Capotage complet par le moteur et l’arbre</w:t>
      </w:r>
    </w:p>
    <w:p w14:paraId="0718138B" w14:textId="77777777" w:rsidR="002A1038" w:rsidRDefault="002A1038" w:rsidP="002A1038">
      <w:pPr>
        <w:ind w:right="169"/>
        <w:jc w:val="both"/>
        <w:rPr>
          <w:rFonts w:ascii="Arial" w:hAnsi="Arial"/>
          <w:b/>
          <w:u w:val="single"/>
        </w:rPr>
      </w:pPr>
    </w:p>
    <w:p w14:paraId="41B27EB5" w14:textId="77777777" w:rsidR="002A1038" w:rsidRDefault="002A1038" w:rsidP="002A1038">
      <w:pPr>
        <w:ind w:right="169"/>
        <w:jc w:val="both"/>
        <w:rPr>
          <w:rFonts w:ascii="Arial" w:hAnsi="Arial"/>
          <w:sz w:val="16"/>
          <w:szCs w:val="16"/>
        </w:rPr>
      </w:pPr>
    </w:p>
    <w:p w14:paraId="77B3BCF8" w14:textId="77777777" w:rsidR="002A1038" w:rsidRDefault="002A1038" w:rsidP="002A1038">
      <w:pPr>
        <w:ind w:right="169"/>
        <w:jc w:val="both"/>
        <w:rPr>
          <w:rFonts w:ascii="Arial" w:hAnsi="Arial"/>
          <w:b/>
        </w:rPr>
      </w:pPr>
      <w:r>
        <w:rPr>
          <w:rFonts w:ascii="Arial" w:hAnsi="Arial"/>
          <w:b/>
          <w:bCs/>
          <w:lang w:val="fr-FR"/>
        </w:rPr>
        <w:t>Surface :</w:t>
      </w:r>
    </w:p>
    <w:p w14:paraId="4565606B" w14:textId="77777777" w:rsidR="002A1038" w:rsidRDefault="002A1038" w:rsidP="002A1038">
      <w:pPr>
        <w:ind w:right="169"/>
        <w:jc w:val="both"/>
        <w:rPr>
          <w:rFonts w:ascii="Arial" w:hAnsi="Arial"/>
        </w:rPr>
      </w:pPr>
    </w:p>
    <w:p w14:paraId="5D30B91E" w14:textId="77777777" w:rsidR="002A1038" w:rsidRDefault="002A1038" w:rsidP="002A1038">
      <w:pPr>
        <w:ind w:right="169"/>
        <w:jc w:val="both"/>
        <w:rPr>
          <w:rFonts w:ascii="Arial" w:hAnsi="Arial"/>
        </w:rPr>
      </w:pPr>
      <w:r>
        <w:rPr>
          <w:rFonts w:ascii="Arial" w:hAnsi="Arial"/>
          <w:lang w:val="fr-FR"/>
        </w:rPr>
        <w:t>Revêtement en poudre de toutes les pièces en acier visibles dans une couleur selon RAL __________</w:t>
      </w:r>
    </w:p>
    <w:p w14:paraId="313AA258" w14:textId="77777777" w:rsidR="002A1038" w:rsidRDefault="002A1038" w:rsidP="002A1038">
      <w:pPr>
        <w:ind w:right="169"/>
        <w:jc w:val="both"/>
        <w:rPr>
          <w:rFonts w:ascii="Arial" w:hAnsi="Arial"/>
        </w:rPr>
      </w:pPr>
      <w:r>
        <w:rPr>
          <w:rFonts w:ascii="Arial" w:hAnsi="Arial"/>
          <w:lang w:val="fr-FR"/>
        </w:rPr>
        <w:t xml:space="preserve">(des couleurs métallisées </w:t>
      </w:r>
      <w:r>
        <w:rPr>
          <w:rFonts w:ascii="Arial" w:hAnsi="Arial"/>
          <w:u w:val="single"/>
          <w:lang w:val="fr-FR"/>
        </w:rPr>
        <w:t>ne</w:t>
      </w:r>
      <w:r>
        <w:rPr>
          <w:rFonts w:ascii="Arial" w:hAnsi="Arial"/>
          <w:lang w:val="fr-FR"/>
        </w:rPr>
        <w:t xml:space="preserve"> sont </w:t>
      </w:r>
      <w:r>
        <w:rPr>
          <w:rFonts w:ascii="Arial" w:hAnsi="Arial"/>
          <w:u w:val="single"/>
          <w:lang w:val="fr-FR"/>
        </w:rPr>
        <w:t>pas</w:t>
      </w:r>
      <w:r>
        <w:rPr>
          <w:rFonts w:ascii="Arial" w:hAnsi="Arial"/>
          <w:lang w:val="fr-FR"/>
        </w:rPr>
        <w:t xml:space="preserve"> disponibles)</w:t>
      </w:r>
    </w:p>
    <w:p w14:paraId="3172D9C5" w14:textId="77777777" w:rsidR="002A1038" w:rsidRDefault="002A1038" w:rsidP="002A1038">
      <w:pPr>
        <w:ind w:right="169"/>
        <w:jc w:val="both"/>
        <w:rPr>
          <w:rFonts w:ascii="Arial" w:hAnsi="Arial"/>
          <w:b/>
        </w:rPr>
      </w:pPr>
    </w:p>
    <w:p w14:paraId="1E191F34" w14:textId="77777777" w:rsidR="002A1038" w:rsidRDefault="002A1038" w:rsidP="002A1038">
      <w:pPr>
        <w:ind w:right="169"/>
        <w:jc w:val="both"/>
        <w:rPr>
          <w:rFonts w:ascii="Arial" w:hAnsi="Arial" w:cs="Arial"/>
          <w:b/>
        </w:rPr>
      </w:pPr>
      <w:r>
        <w:rPr>
          <w:rFonts w:ascii="Arial" w:hAnsi="Arial" w:cs="Arial"/>
          <w:b/>
          <w:bCs/>
          <w:lang w:val="fr-FR"/>
        </w:rPr>
        <w:t>ou</w:t>
      </w:r>
    </w:p>
    <w:p w14:paraId="44CED00D" w14:textId="77777777" w:rsidR="002A1038" w:rsidRDefault="002A1038" w:rsidP="002A1038">
      <w:pPr>
        <w:ind w:right="169"/>
        <w:jc w:val="both"/>
        <w:rPr>
          <w:rFonts w:ascii="Arial" w:hAnsi="Arial" w:cs="Arial"/>
        </w:rPr>
      </w:pPr>
    </w:p>
    <w:p w14:paraId="4D106B79" w14:textId="77777777" w:rsidR="002A1038" w:rsidRDefault="002A1038" w:rsidP="002A1038">
      <w:pPr>
        <w:ind w:right="169"/>
        <w:jc w:val="both"/>
        <w:rPr>
          <w:rFonts w:ascii="Arial" w:hAnsi="Arial" w:cs="Arial"/>
          <w:spacing w:val="-4"/>
        </w:rPr>
      </w:pPr>
      <w:r>
        <w:rPr>
          <w:rFonts w:ascii="Arial" w:hAnsi="Arial" w:cs="Arial"/>
          <w:lang w:val="fr-FR"/>
        </w:rPr>
        <w:t>Réalisation en acier inoxydable (V2A) de toutes les pièces visibles en acier, surface visible poncée, granulométrie 220,</w:t>
      </w:r>
    </w:p>
    <w:p w14:paraId="09F7D841" w14:textId="77777777" w:rsidR="002A1038" w:rsidRDefault="002A1038" w:rsidP="002A1038">
      <w:pPr>
        <w:ind w:right="169"/>
        <w:jc w:val="both"/>
        <w:rPr>
          <w:rFonts w:ascii="Arial" w:hAnsi="Arial"/>
        </w:rPr>
      </w:pPr>
      <w:r>
        <w:rPr>
          <w:rFonts w:ascii="Arial" w:hAnsi="Arial"/>
          <w:lang w:val="fr-FR"/>
        </w:rPr>
        <w:t>incl. armoire électrique en V2A, p. ex. pour l’usage en milieu humide</w:t>
      </w:r>
    </w:p>
    <w:p w14:paraId="042FDA2F" w14:textId="77777777" w:rsidR="002A1038" w:rsidRDefault="002A1038" w:rsidP="002A1038">
      <w:pPr>
        <w:ind w:right="311"/>
        <w:jc w:val="both"/>
        <w:rPr>
          <w:rFonts w:ascii="Arial" w:hAnsi="Arial"/>
        </w:rPr>
      </w:pPr>
    </w:p>
    <w:p w14:paraId="3AD1E2C4" w14:textId="77777777" w:rsidR="002A1038" w:rsidRDefault="002A1038" w:rsidP="002A1038">
      <w:pPr>
        <w:ind w:right="311"/>
        <w:jc w:val="both"/>
        <w:rPr>
          <w:rFonts w:ascii="Arial" w:hAnsi="Arial"/>
        </w:rPr>
      </w:pPr>
    </w:p>
    <w:p w14:paraId="20F53AB1" w14:textId="77777777" w:rsidR="002A1038" w:rsidRDefault="002A1038" w:rsidP="002A1038">
      <w:pPr>
        <w:ind w:right="311"/>
        <w:jc w:val="both"/>
        <w:rPr>
          <w:rFonts w:ascii="Arial" w:hAnsi="Arial"/>
        </w:rPr>
      </w:pPr>
    </w:p>
    <w:p w14:paraId="7AD968B2" w14:textId="77777777" w:rsidR="002A1038" w:rsidRDefault="002A1038" w:rsidP="002A1038">
      <w:pPr>
        <w:ind w:right="312"/>
        <w:jc w:val="both"/>
        <w:rPr>
          <w:rFonts w:ascii="Arial" w:hAnsi="Arial"/>
          <w:b/>
          <w:sz w:val="22"/>
          <w:szCs w:val="22"/>
        </w:rPr>
      </w:pPr>
      <w:r>
        <w:rPr>
          <w:rFonts w:ascii="Arial" w:hAnsi="Arial"/>
          <w:b/>
          <w:bCs/>
          <w:sz w:val="22"/>
          <w:szCs w:val="22"/>
          <w:lang w:val="fr-FR"/>
        </w:rPr>
        <w:t>Variantes de tablier :</w:t>
      </w:r>
    </w:p>
    <w:p w14:paraId="0192710D" w14:textId="77777777" w:rsidR="002A1038" w:rsidRDefault="002A1038" w:rsidP="002A1038">
      <w:pPr>
        <w:ind w:right="27"/>
        <w:jc w:val="both"/>
        <w:rPr>
          <w:rFonts w:ascii="Arial" w:hAnsi="Arial" w:cs="Arial"/>
          <w:b/>
          <w:u w:val="single"/>
        </w:rPr>
      </w:pPr>
    </w:p>
    <w:p w14:paraId="6A07A0EA" w14:textId="77777777" w:rsidR="002A1038" w:rsidRDefault="002A1038" w:rsidP="002A1038">
      <w:pPr>
        <w:ind w:right="27"/>
        <w:jc w:val="both"/>
        <w:rPr>
          <w:rFonts w:ascii="Arial" w:hAnsi="Arial" w:cs="Arial"/>
        </w:rPr>
      </w:pPr>
      <w:r>
        <w:rPr>
          <w:rFonts w:ascii="Arial" w:hAnsi="Arial" w:cs="Arial"/>
          <w:lang w:val="fr-FR"/>
        </w:rPr>
        <w:t xml:space="preserve">Supplément pour les </w:t>
      </w:r>
      <w:r>
        <w:rPr>
          <w:rFonts w:ascii="Arial" w:hAnsi="Arial" w:cs="Arial"/>
          <w:b/>
          <w:bCs/>
          <w:lang w:val="fr-FR"/>
        </w:rPr>
        <w:t>fenêtres</w:t>
      </w:r>
      <w:r>
        <w:rPr>
          <w:rFonts w:ascii="Arial" w:hAnsi="Arial" w:cs="Arial"/>
          <w:lang w:val="fr-FR"/>
        </w:rPr>
        <w:t xml:space="preserve"> en PVC transparent</w:t>
      </w:r>
    </w:p>
    <w:p w14:paraId="41B51CC2" w14:textId="77777777" w:rsidR="002A1038" w:rsidRDefault="002A1038" w:rsidP="002A1038">
      <w:pPr>
        <w:ind w:right="27"/>
        <w:jc w:val="both"/>
        <w:rPr>
          <w:rFonts w:ascii="Arial" w:hAnsi="Arial" w:cs="Arial"/>
          <w:b/>
          <w:u w:val="single"/>
        </w:rPr>
      </w:pPr>
    </w:p>
    <w:p w14:paraId="5C1D050F" w14:textId="77777777" w:rsidR="002A1038" w:rsidRDefault="002A1038" w:rsidP="002A1038">
      <w:pPr>
        <w:ind w:right="27"/>
        <w:jc w:val="both"/>
        <w:rPr>
          <w:rFonts w:ascii="Arial" w:hAnsi="Arial" w:cs="Arial"/>
          <w:b/>
        </w:rPr>
      </w:pPr>
      <w:r>
        <w:rPr>
          <w:rFonts w:ascii="Arial" w:hAnsi="Arial" w:cs="Arial"/>
          <w:b/>
          <w:bCs/>
          <w:lang w:val="fr-FR"/>
        </w:rPr>
        <w:t>ou</w:t>
      </w:r>
    </w:p>
    <w:p w14:paraId="6057EE55" w14:textId="77777777" w:rsidR="002A1038" w:rsidRDefault="002A1038" w:rsidP="002A1038">
      <w:pPr>
        <w:ind w:right="27"/>
        <w:jc w:val="both"/>
        <w:rPr>
          <w:rFonts w:ascii="Arial" w:hAnsi="Arial" w:cs="Arial"/>
          <w:b/>
          <w:u w:val="single"/>
        </w:rPr>
      </w:pPr>
    </w:p>
    <w:p w14:paraId="285F2393" w14:textId="77777777" w:rsidR="002A1038" w:rsidRDefault="002A1038" w:rsidP="002A1038">
      <w:pPr>
        <w:ind w:right="57"/>
        <w:jc w:val="both"/>
        <w:rPr>
          <w:rFonts w:ascii="Arial" w:hAnsi="Arial"/>
          <w:sz w:val="19"/>
          <w:szCs w:val="19"/>
        </w:rPr>
      </w:pPr>
      <w:r>
        <w:rPr>
          <w:rFonts w:ascii="Arial" w:hAnsi="Arial"/>
          <w:b/>
          <w:bCs/>
          <w:sz w:val="19"/>
          <w:szCs w:val="19"/>
          <w:lang w:val="fr-FR"/>
        </w:rPr>
        <w:t>Tablier en PVC</w:t>
      </w:r>
      <w:r>
        <w:rPr>
          <w:rFonts w:ascii="Arial" w:hAnsi="Arial"/>
          <w:sz w:val="19"/>
          <w:szCs w:val="19"/>
          <w:lang w:val="fr-FR"/>
        </w:rPr>
        <w:t xml:space="preserve"> d’environ 2 mm d’épaisseur, </w:t>
      </w:r>
      <w:r>
        <w:rPr>
          <w:rFonts w:ascii="Arial" w:hAnsi="Arial"/>
          <w:b/>
          <w:bCs/>
          <w:sz w:val="19"/>
          <w:szCs w:val="19"/>
          <w:lang w:val="fr-FR"/>
        </w:rPr>
        <w:t>entièrement transparent, avec bandes d’avertissement</w:t>
      </w:r>
      <w:r>
        <w:rPr>
          <w:rFonts w:ascii="Arial" w:hAnsi="Arial"/>
          <w:sz w:val="19"/>
          <w:szCs w:val="19"/>
          <w:lang w:val="fr-FR"/>
        </w:rPr>
        <w:t xml:space="preserve"> </w:t>
      </w:r>
    </w:p>
    <w:p w14:paraId="64E47912" w14:textId="77777777" w:rsidR="002A1038" w:rsidRDefault="002A1038" w:rsidP="002A1038">
      <w:pPr>
        <w:ind w:right="27"/>
        <w:jc w:val="both"/>
        <w:rPr>
          <w:rFonts w:ascii="Arial" w:hAnsi="Arial" w:cs="Arial"/>
          <w:sz w:val="16"/>
        </w:rPr>
      </w:pPr>
      <w:r>
        <w:rPr>
          <w:rFonts w:ascii="Arial" w:hAnsi="Arial" w:cs="Arial"/>
          <w:lang w:val="fr-FR"/>
        </w:rPr>
        <w:t xml:space="preserve">Couleurs des bandes d’avertissement : rouge, orange, bleu, jaune </w:t>
      </w:r>
    </w:p>
    <w:p w14:paraId="2C0589FF" w14:textId="77777777" w:rsidR="002A1038" w:rsidRDefault="002A1038" w:rsidP="002A1038">
      <w:pPr>
        <w:ind w:right="27"/>
        <w:jc w:val="both"/>
        <w:rPr>
          <w:rFonts w:ascii="Arial" w:hAnsi="Arial" w:cs="Arial"/>
          <w:b/>
          <w:u w:val="single"/>
        </w:rPr>
      </w:pPr>
    </w:p>
    <w:p w14:paraId="6B8BC909" w14:textId="77777777" w:rsidR="002A1038" w:rsidRDefault="002A1038" w:rsidP="002A1038">
      <w:pPr>
        <w:ind w:right="27"/>
        <w:jc w:val="both"/>
        <w:rPr>
          <w:rFonts w:ascii="Arial" w:hAnsi="Arial" w:cs="Arial"/>
          <w:b/>
        </w:rPr>
      </w:pPr>
      <w:r>
        <w:rPr>
          <w:rFonts w:ascii="Arial" w:hAnsi="Arial" w:cs="Arial"/>
          <w:b/>
          <w:bCs/>
          <w:lang w:val="fr-FR"/>
        </w:rPr>
        <w:t>ou</w:t>
      </w:r>
    </w:p>
    <w:p w14:paraId="6CAC5075" w14:textId="77777777" w:rsidR="002A1038" w:rsidRDefault="002A1038" w:rsidP="002A1038">
      <w:pPr>
        <w:ind w:right="27"/>
        <w:jc w:val="both"/>
        <w:rPr>
          <w:rFonts w:ascii="Arial" w:hAnsi="Arial" w:cs="Arial"/>
          <w:b/>
          <w:u w:val="single"/>
        </w:rPr>
      </w:pPr>
    </w:p>
    <w:p w14:paraId="299791D1" w14:textId="77777777" w:rsidR="002A1038" w:rsidRDefault="002A1038" w:rsidP="002A1038">
      <w:pPr>
        <w:ind w:right="27"/>
        <w:jc w:val="both"/>
        <w:rPr>
          <w:rFonts w:ascii="Arial" w:hAnsi="Arial" w:cs="Arial"/>
        </w:rPr>
      </w:pPr>
      <w:r>
        <w:rPr>
          <w:rFonts w:ascii="Arial" w:hAnsi="Arial" w:cs="Arial"/>
          <w:b/>
          <w:bCs/>
          <w:lang w:val="fr-FR"/>
        </w:rPr>
        <w:t xml:space="preserve">Tissu en polyester </w:t>
      </w:r>
      <w:r>
        <w:rPr>
          <w:rFonts w:ascii="Arial" w:hAnsi="Arial" w:cs="Arial"/>
          <w:lang w:val="fr-FR"/>
        </w:rPr>
        <w:t xml:space="preserve">d’une épaisseur de </w:t>
      </w:r>
      <w:r>
        <w:rPr>
          <w:rFonts w:ascii="Arial" w:hAnsi="Arial" w:cs="Arial"/>
          <w:b/>
          <w:bCs/>
          <w:lang w:val="fr-FR"/>
        </w:rPr>
        <w:t>2,0 </w:t>
      </w:r>
      <w:r>
        <w:rPr>
          <w:rFonts w:ascii="Arial" w:hAnsi="Arial" w:cs="Arial"/>
          <w:lang w:val="fr-FR"/>
        </w:rPr>
        <w:t>mm, à stabilité transversale, agréé par la FDA</w:t>
      </w:r>
    </w:p>
    <w:p w14:paraId="36C1B566" w14:textId="77777777" w:rsidR="002A1038" w:rsidRDefault="002A1038" w:rsidP="002A1038">
      <w:pPr>
        <w:ind w:right="27"/>
        <w:jc w:val="both"/>
        <w:rPr>
          <w:rFonts w:ascii="Arial" w:hAnsi="Arial" w:cs="Arial"/>
        </w:rPr>
      </w:pPr>
      <w:r>
        <w:rPr>
          <w:rFonts w:ascii="Arial" w:hAnsi="Arial" w:cs="Arial"/>
          <w:lang w:val="fr-FR"/>
        </w:rPr>
        <w:t xml:space="preserve">rouge / orange / jaune : pas antistatique, sans silicone </w:t>
      </w:r>
    </w:p>
    <w:p w14:paraId="4058E5EB" w14:textId="77777777" w:rsidR="002A1038" w:rsidRDefault="002A1038" w:rsidP="002A1038">
      <w:pPr>
        <w:ind w:right="27"/>
        <w:jc w:val="both"/>
        <w:rPr>
          <w:rFonts w:ascii="Arial" w:hAnsi="Arial" w:cs="Arial"/>
        </w:rPr>
      </w:pPr>
      <w:r>
        <w:rPr>
          <w:rFonts w:ascii="Arial" w:hAnsi="Arial" w:cs="Arial"/>
          <w:lang w:val="fr-FR"/>
        </w:rPr>
        <w:t>bleu / gris-blanc : antistatique, sans silicone</w:t>
      </w:r>
    </w:p>
    <w:p w14:paraId="2D79365F" w14:textId="77777777" w:rsidR="002A1038" w:rsidRDefault="002A1038" w:rsidP="002A1038">
      <w:pPr>
        <w:ind w:right="27"/>
        <w:jc w:val="both"/>
        <w:rPr>
          <w:rFonts w:ascii="Arial" w:hAnsi="Arial" w:cs="Arial"/>
          <w:sz w:val="16"/>
        </w:rPr>
      </w:pPr>
    </w:p>
    <w:p w14:paraId="1E27B7BA" w14:textId="77777777" w:rsidR="002A1038" w:rsidRDefault="002A1038" w:rsidP="002A1038">
      <w:pPr>
        <w:ind w:right="27"/>
        <w:jc w:val="both"/>
        <w:rPr>
          <w:rFonts w:ascii="Arial" w:hAnsi="Arial" w:cs="Arial"/>
          <w:sz w:val="16"/>
        </w:rPr>
      </w:pPr>
    </w:p>
    <w:p w14:paraId="74C00C8B" w14:textId="77777777" w:rsidR="002A1038" w:rsidRDefault="002A1038" w:rsidP="002A1038">
      <w:pPr>
        <w:ind w:right="27"/>
        <w:jc w:val="both"/>
        <w:rPr>
          <w:rFonts w:ascii="Arial" w:hAnsi="Arial" w:cs="Arial"/>
          <w:b/>
        </w:rPr>
      </w:pPr>
      <w:r>
        <w:rPr>
          <w:rFonts w:ascii="Arial" w:hAnsi="Arial" w:cs="Arial"/>
          <w:b/>
          <w:bCs/>
          <w:lang w:val="fr-FR"/>
        </w:rPr>
        <w:t>voir ci-dessus, mais</w:t>
      </w:r>
    </w:p>
    <w:p w14:paraId="06AE369F" w14:textId="77777777" w:rsidR="002A1038" w:rsidRDefault="002A1038" w:rsidP="002A1038">
      <w:pPr>
        <w:ind w:right="27"/>
        <w:jc w:val="both"/>
        <w:rPr>
          <w:rFonts w:ascii="Arial" w:hAnsi="Arial" w:cs="Arial"/>
          <w:b/>
        </w:rPr>
      </w:pPr>
    </w:p>
    <w:p w14:paraId="64722AA1" w14:textId="77777777" w:rsidR="002A1038" w:rsidRDefault="002A1038" w:rsidP="002A1038">
      <w:pPr>
        <w:ind w:right="27"/>
        <w:jc w:val="both"/>
        <w:rPr>
          <w:rFonts w:ascii="Arial" w:hAnsi="Arial" w:cs="Arial"/>
        </w:rPr>
      </w:pPr>
      <w:r>
        <w:rPr>
          <w:rFonts w:ascii="Arial" w:hAnsi="Arial" w:cs="Arial"/>
          <w:b/>
          <w:bCs/>
          <w:lang w:val="fr-FR"/>
        </w:rPr>
        <w:t>avec bandes transparentes</w:t>
      </w:r>
      <w:r>
        <w:rPr>
          <w:rFonts w:ascii="Arial" w:hAnsi="Arial" w:cs="Arial"/>
          <w:lang w:val="fr-FR"/>
        </w:rPr>
        <w:t xml:space="preserve"> en PVC complètement transparent</w:t>
      </w:r>
    </w:p>
    <w:p w14:paraId="0ADA5D86" w14:textId="77777777" w:rsidR="002A1038" w:rsidRDefault="002A1038" w:rsidP="002A1038">
      <w:pPr>
        <w:ind w:right="27"/>
        <w:jc w:val="both"/>
        <w:rPr>
          <w:rFonts w:ascii="Arial" w:hAnsi="Arial" w:cs="Arial"/>
          <w:sz w:val="16"/>
        </w:rPr>
      </w:pPr>
      <w:r>
        <w:rPr>
          <w:rFonts w:ascii="Arial" w:hAnsi="Arial" w:cs="Arial"/>
          <w:sz w:val="16"/>
          <w:lang w:val="fr-FR"/>
        </w:rPr>
        <w:t>(Pour le tablier avec fenêtre, seulement en partie antistatique et en partie agréé</w:t>
      </w:r>
    </w:p>
    <w:p w14:paraId="76429AE5" w14:textId="77777777" w:rsidR="002A1038" w:rsidRDefault="002A1038" w:rsidP="002A1038">
      <w:pPr>
        <w:ind w:right="27"/>
        <w:jc w:val="both"/>
        <w:rPr>
          <w:rFonts w:ascii="Arial" w:hAnsi="Arial" w:cs="Arial"/>
        </w:rPr>
      </w:pPr>
      <w:r>
        <w:rPr>
          <w:rFonts w:ascii="Arial" w:hAnsi="Arial" w:cs="Arial"/>
          <w:sz w:val="16"/>
          <w:lang w:val="fr-FR"/>
        </w:rPr>
        <w:t>pour l’industrie alimentaire)</w:t>
      </w:r>
    </w:p>
    <w:p w14:paraId="743D2C63" w14:textId="77777777" w:rsidR="002A1038" w:rsidRDefault="002A1038" w:rsidP="002A1038">
      <w:pPr>
        <w:ind w:right="27"/>
        <w:jc w:val="both"/>
        <w:rPr>
          <w:rFonts w:ascii="Arial" w:hAnsi="Arial" w:cs="Arial"/>
        </w:rPr>
      </w:pPr>
    </w:p>
    <w:p w14:paraId="69DCD310" w14:textId="77777777" w:rsidR="002A1038" w:rsidRDefault="002A1038" w:rsidP="002A1038">
      <w:pPr>
        <w:ind w:right="170"/>
        <w:jc w:val="both"/>
        <w:rPr>
          <w:rFonts w:ascii="Arial" w:hAnsi="Arial"/>
        </w:rPr>
      </w:pPr>
    </w:p>
    <w:p w14:paraId="639638BD" w14:textId="77777777" w:rsidR="00EE052E" w:rsidRDefault="00EE052E"/>
    <w:sectPr w:rsidR="00EE052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038"/>
    <w:rsid w:val="002A1038"/>
    <w:rsid w:val="00343157"/>
    <w:rsid w:val="004A7B99"/>
    <w:rsid w:val="00533D29"/>
    <w:rsid w:val="007214C2"/>
    <w:rsid w:val="00AF1933"/>
    <w:rsid w:val="00B27DDA"/>
    <w:rsid w:val="00CD3D1F"/>
    <w:rsid w:val="00EE052E"/>
    <w:rsid w:val="00F31A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ECAC9"/>
  <w15:chartTrackingRefBased/>
  <w15:docId w15:val="{4133F02D-2E7B-486D-88E9-F9CC9091D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A1038"/>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038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534</Words>
  <Characters>3365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Flexeder Markus</dc:creator>
  <cp:keywords/>
  <dc:description/>
  <cp:lastModifiedBy>Richter, Corina</cp:lastModifiedBy>
  <cp:revision>2</cp:revision>
  <dcterms:created xsi:type="dcterms:W3CDTF">2023-01-24T13:41:00Z</dcterms:created>
  <dcterms:modified xsi:type="dcterms:W3CDTF">2023-04-28T07:51:00Z</dcterms:modified>
</cp:coreProperties>
</file>