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919DC" w14:textId="43F890E8" w:rsidR="005F7DD3" w:rsidRPr="00B43239" w:rsidRDefault="005F7DD3" w:rsidP="005F7DD3">
      <w:pPr>
        <w:spacing w:line="360" w:lineRule="auto"/>
        <w:rPr>
          <w:rFonts w:ascii="Arial" w:hAnsi="Arial"/>
          <w:b/>
        </w:rPr>
      </w:pPr>
      <w:r>
        <w:rPr>
          <w:rFonts w:ascii="Arial" w:hAnsi="Arial"/>
          <w:b/>
          <w:bCs/>
          <w:u w:val="single"/>
          <w:lang w:val="fr-FR"/>
        </w:rPr>
        <w:t>PORTE RAPIDE À ENROULEMENT</w:t>
      </w:r>
      <w:r>
        <w:rPr>
          <w:rFonts w:ascii="Arial" w:hAnsi="Arial"/>
          <w:b/>
          <w:bCs/>
          <w:lang w:val="fr-FR"/>
        </w:rPr>
        <w:t>, type « EFA-SRT</w:t>
      </w:r>
      <w:r>
        <w:rPr>
          <w:rFonts w:ascii="Arial" w:hAnsi="Arial"/>
          <w:b/>
          <w:bCs/>
          <w:vertAlign w:val="superscript"/>
          <w:lang w:val="fr-FR"/>
        </w:rPr>
        <w:t>®</w:t>
      </w:r>
      <w:r>
        <w:rPr>
          <w:rFonts w:ascii="Arial" w:hAnsi="Arial"/>
          <w:b/>
          <w:bCs/>
          <w:lang w:val="fr-FR"/>
        </w:rPr>
        <w:t>-S</w:t>
      </w:r>
      <w:r>
        <w:rPr>
          <w:rFonts w:ascii="Arial" w:hAnsi="Arial"/>
          <w:b/>
          <w:bCs/>
          <w:vertAlign w:val="superscript"/>
          <w:lang w:val="fr-FR"/>
        </w:rPr>
        <w:t xml:space="preserve"> </w:t>
      </w:r>
      <w:r>
        <w:rPr>
          <w:rFonts w:ascii="Arial" w:hAnsi="Arial"/>
          <w:b/>
          <w:bCs/>
          <w:lang w:val="fr-FR"/>
        </w:rPr>
        <w:t>EAS »</w:t>
      </w:r>
    </w:p>
    <w:p w14:paraId="62720029" w14:textId="77777777" w:rsidR="005F7DD3" w:rsidRDefault="005F7DD3" w:rsidP="005F7DD3">
      <w:pPr>
        <w:ind w:left="113" w:right="113" w:hanging="113"/>
        <w:jc w:val="both"/>
        <w:rPr>
          <w:rFonts w:ascii="Arial" w:hAnsi="Arial"/>
        </w:rPr>
      </w:pPr>
    </w:p>
    <w:p w14:paraId="4A7D0CD2" w14:textId="77777777" w:rsidR="005F7DD3" w:rsidRDefault="005F7DD3" w:rsidP="005F7DD3">
      <w:pPr>
        <w:ind w:left="113" w:right="113" w:hanging="113"/>
        <w:jc w:val="both"/>
        <w:rPr>
          <w:rFonts w:ascii="Arial" w:hAnsi="Arial"/>
        </w:rPr>
      </w:pPr>
      <w:r>
        <w:rPr>
          <w:rFonts w:ascii="Arial" w:hAnsi="Arial"/>
          <w:lang w:val="fr-FR"/>
        </w:rPr>
        <w:t>Fabrication, livraison et montage de :</w:t>
      </w:r>
    </w:p>
    <w:p w14:paraId="3A61ABA8" w14:textId="77777777" w:rsidR="005F7DD3" w:rsidRPr="004C03D4" w:rsidRDefault="005F7DD3" w:rsidP="005F7DD3">
      <w:pPr>
        <w:ind w:left="113" w:right="113" w:hanging="113"/>
        <w:jc w:val="both"/>
        <w:rPr>
          <w:rFonts w:ascii="Arial" w:hAnsi="Arial"/>
        </w:rPr>
      </w:pPr>
    </w:p>
    <w:p w14:paraId="50031DED" w14:textId="4A80ABF1" w:rsidR="005F7DD3" w:rsidRPr="004C03D4" w:rsidRDefault="005F7DD3" w:rsidP="005F7DD3">
      <w:pPr>
        <w:ind w:right="113"/>
        <w:jc w:val="both"/>
        <w:rPr>
          <w:rFonts w:ascii="Arial" w:hAnsi="Arial"/>
        </w:rPr>
      </w:pPr>
      <w:r>
        <w:rPr>
          <w:rFonts w:ascii="Arial" w:hAnsi="Arial"/>
          <w:lang w:val="fr-FR"/>
        </w:rPr>
        <w:t>Porte rapide à enroulement, type « EFA-SRT®-S EAS », avec entraînement de porte haute puissance électromécanique pour une application industrielle permanente extrême.</w:t>
      </w:r>
    </w:p>
    <w:p w14:paraId="229FFB65" w14:textId="351D5221" w:rsidR="005F7DD3" w:rsidRDefault="005F7DD3" w:rsidP="005F7DD3">
      <w:pPr>
        <w:ind w:left="113" w:right="113" w:hanging="113"/>
        <w:jc w:val="both"/>
        <w:rPr>
          <w:rFonts w:ascii="Arial" w:hAnsi="Arial"/>
        </w:rPr>
      </w:pPr>
    </w:p>
    <w:p w14:paraId="1C9C9475" w14:textId="77777777" w:rsidR="005F7DD3" w:rsidRPr="002074A7" w:rsidRDefault="005F7DD3" w:rsidP="005F7DD3">
      <w:pPr>
        <w:ind w:right="169"/>
        <w:jc w:val="both"/>
        <w:rPr>
          <w:rFonts w:ascii="Arial" w:hAnsi="Arial"/>
        </w:rPr>
      </w:pPr>
      <w:r>
        <w:rPr>
          <w:rFonts w:ascii="Arial" w:hAnsi="Arial"/>
          <w:b/>
          <w:bCs/>
          <w:lang w:val="fr-FR"/>
        </w:rPr>
        <w:t>Réalisation Crash :</w:t>
      </w:r>
    </w:p>
    <w:p w14:paraId="3DF80B98" w14:textId="77777777" w:rsidR="005F7DD3" w:rsidRPr="004C03D4" w:rsidRDefault="005F7DD3" w:rsidP="005F7DD3">
      <w:pPr>
        <w:ind w:right="57"/>
        <w:jc w:val="both"/>
        <w:rPr>
          <w:rFonts w:ascii="Arial" w:hAnsi="Arial"/>
        </w:rPr>
      </w:pPr>
      <w:r>
        <w:rPr>
          <w:rFonts w:ascii="Arial" w:hAnsi="Arial"/>
          <w:lang w:val="fr-FR"/>
        </w:rPr>
        <w:t>Y compris un mécanisme de déviation spécial sur le profil d’extrémité pour éviter les endommagements dus à une collision accidentelle. En cas d’une collision non intentionnelle, l’élément d’extrémité de la porte peut être extrait de deux côtés de ses guidages. Sur ce, des interrupteurs agencés des deux côtés informent la commande sur le « crash » de sorte à générer l’arrêt immédiat du déplacement de la porte. Après le « raccrochage » manuel de l’élément d’extrémité et l’envoi de la confirmation à l’armoire, le fonctionnement automatique peut être repris. Avec cette variante de porte, les signaux des interrupteurs crash et de la barre palpeuse sont envoyés à la commande par impulsion radioélectrique. (Un câble spiralé sur le tablier n’est pas désiré.)</w:t>
      </w:r>
    </w:p>
    <w:p w14:paraId="40E497B3" w14:textId="77777777" w:rsidR="005F7DD3" w:rsidRPr="004C03D4" w:rsidRDefault="005F7DD3" w:rsidP="005F7DD3">
      <w:pPr>
        <w:ind w:left="113" w:right="113" w:hanging="113"/>
        <w:jc w:val="both"/>
        <w:rPr>
          <w:rFonts w:ascii="Arial" w:hAnsi="Arial"/>
        </w:rPr>
      </w:pPr>
    </w:p>
    <w:p w14:paraId="2906FB77" w14:textId="48991DE9" w:rsidR="005F7DD3" w:rsidRPr="004C03D4" w:rsidRDefault="005F7DD3" w:rsidP="005F7DD3">
      <w:pPr>
        <w:ind w:left="57" w:right="57"/>
        <w:jc w:val="both"/>
        <w:rPr>
          <w:rFonts w:ascii="Arial" w:hAnsi="Arial"/>
        </w:rPr>
      </w:pPr>
      <w:r>
        <w:rPr>
          <w:rFonts w:ascii="Arial" w:hAnsi="Arial"/>
          <w:lang w:val="fr-FR"/>
        </w:rPr>
        <w:t xml:space="preserve">Pour l’équilibrage de poids du tablier </w:t>
      </w:r>
      <w:r>
        <w:rPr>
          <w:rFonts w:ascii="Arial" w:hAnsi="Arial"/>
          <w:u w:val="single"/>
          <w:lang w:val="fr-FR"/>
        </w:rPr>
        <w:t>et</w:t>
      </w:r>
      <w:r>
        <w:rPr>
          <w:rFonts w:ascii="Arial" w:hAnsi="Arial"/>
          <w:lang w:val="fr-FR"/>
        </w:rPr>
        <w:t xml:space="preserve"> l’ouverture manuelle de la porte en cas de panne de courant (selon DIN EN 12604), il faut intégrer un mécanisme à ressorts de traction spécial dans les montants latéraux de porte. Ce dispositif de contre-traction durable et extrêmement facile à entretenir est obligatoire. Les constructions équipées de ressorts de torsion ne sont pas autorisées; tablier standard en PVC d’une épaisseur de 3 mm, entièrement transparent, conduit latéralement et enroulé autour de l’arbre monté horizontalement; tabliers en PVC généralement avec bandes d’avertissement verticales. Il faut prévoir une tension de tablier sans entretien pour garder le tablier sous tension permanente lors de la fermeture de la porte. De plus, les GUIDAGES DE TABLIER latéraux avec des appareils de guidage spéciaux doivent être conçus de sorte qu’un parfait enroulement et déroulement soit garanti également en cas de charge de vent. Construction de montants d’acier munie de joints sur tout le pourtour, galvanisée sendzimir en série.</w:t>
      </w:r>
    </w:p>
    <w:p w14:paraId="0BE9C5CC" w14:textId="77777777" w:rsidR="005F7DD3" w:rsidRPr="004C03D4" w:rsidRDefault="005F7DD3" w:rsidP="005F7DD3">
      <w:pPr>
        <w:ind w:right="113"/>
        <w:jc w:val="both"/>
        <w:rPr>
          <w:rFonts w:ascii="Arial" w:hAnsi="Arial"/>
        </w:rPr>
      </w:pPr>
    </w:p>
    <w:p w14:paraId="2255D41D" w14:textId="77777777" w:rsidR="005F7DD3" w:rsidRPr="004C03D4" w:rsidRDefault="005F7DD3" w:rsidP="005F7DD3">
      <w:pPr>
        <w:ind w:right="170"/>
        <w:jc w:val="both"/>
        <w:rPr>
          <w:rFonts w:ascii="Arial" w:hAnsi="Arial"/>
        </w:rPr>
      </w:pPr>
      <w:r>
        <w:rPr>
          <w:rFonts w:ascii="Arial" w:hAnsi="Arial"/>
          <w:lang w:val="fr-FR"/>
        </w:rPr>
        <w:t>L’</w:t>
      </w:r>
      <w:r>
        <w:rPr>
          <w:rFonts w:ascii="Arial" w:hAnsi="Arial"/>
          <w:b/>
          <w:bCs/>
          <w:lang w:val="fr-FR"/>
        </w:rPr>
        <w:t>ENTRAÎNEMENT DE LA PORTE</w:t>
      </w:r>
      <w:r>
        <w:rPr>
          <w:rFonts w:ascii="Arial" w:hAnsi="Arial"/>
          <w:lang w:val="fr-FR"/>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51B72E6E" w14:textId="77777777" w:rsidR="005F7DD3" w:rsidRDefault="005F7DD3" w:rsidP="005F7DD3">
      <w:pPr>
        <w:ind w:right="170"/>
        <w:jc w:val="both"/>
        <w:rPr>
          <w:rFonts w:ascii="Arial" w:hAnsi="Arial"/>
          <w:b/>
        </w:rPr>
      </w:pPr>
    </w:p>
    <w:p w14:paraId="7B7D2041" w14:textId="77777777" w:rsidR="005F7DD3" w:rsidRDefault="005F7DD3" w:rsidP="005F7DD3">
      <w:pPr>
        <w:ind w:right="170"/>
        <w:jc w:val="both"/>
        <w:rPr>
          <w:rFonts w:ascii="Arial" w:hAnsi="Arial"/>
          <w:b/>
        </w:rPr>
      </w:pPr>
    </w:p>
    <w:p w14:paraId="0A4B45D8" w14:textId="63C37801" w:rsidR="005F7DD3" w:rsidRDefault="005F7DD3" w:rsidP="005F7DD3">
      <w:pPr>
        <w:tabs>
          <w:tab w:val="left" w:pos="4140"/>
        </w:tabs>
        <w:ind w:right="170"/>
        <w:jc w:val="both"/>
        <w:rPr>
          <w:rFonts w:ascii="Arial" w:hAnsi="Arial"/>
          <w:b/>
        </w:rPr>
      </w:pPr>
      <w:r>
        <w:rPr>
          <w:rFonts w:ascii="Arial" w:hAnsi="Arial"/>
          <w:b/>
          <w:bCs/>
          <w:lang w:val="fr-FR"/>
        </w:rPr>
        <w:t>VITESSE D’OUVERTURE :</w:t>
      </w:r>
      <w:r>
        <w:rPr>
          <w:rFonts w:ascii="Arial" w:hAnsi="Arial"/>
          <w:b/>
          <w:bCs/>
          <w:lang w:val="fr-FR"/>
        </w:rPr>
        <w:tab/>
        <w:t>jusqu’à env. 1,0 m/sec.</w:t>
      </w:r>
    </w:p>
    <w:p w14:paraId="04C31610" w14:textId="77777777" w:rsidR="005F7DD3" w:rsidRDefault="005F7DD3" w:rsidP="005F7DD3">
      <w:pPr>
        <w:tabs>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1,5 m/sec.</w:t>
      </w:r>
    </w:p>
    <w:p w14:paraId="4B3205D4" w14:textId="77777777" w:rsidR="005F7DD3" w:rsidRDefault="005F7DD3" w:rsidP="005F7DD3">
      <w:pPr>
        <w:tabs>
          <w:tab w:val="left" w:pos="4140"/>
        </w:tabs>
        <w:ind w:right="170"/>
        <w:jc w:val="both"/>
        <w:rPr>
          <w:rFonts w:ascii="Arial" w:hAnsi="Arial"/>
        </w:rPr>
      </w:pPr>
      <w:r>
        <w:rPr>
          <w:rFonts w:ascii="Arial" w:hAnsi="Arial"/>
          <w:lang w:val="fr-FR"/>
        </w:rPr>
        <w:tab/>
        <w:t>(en fonction de la taille de la porte)</w:t>
      </w:r>
    </w:p>
    <w:p w14:paraId="591681B0" w14:textId="5CDFB067" w:rsidR="005F7DD3" w:rsidRDefault="005F7DD3" w:rsidP="005F7DD3">
      <w:pPr>
        <w:tabs>
          <w:tab w:val="left" w:pos="4140"/>
        </w:tabs>
        <w:ind w:right="170"/>
        <w:jc w:val="both"/>
        <w:rPr>
          <w:rFonts w:ascii="Arial" w:hAnsi="Arial"/>
          <w:b/>
        </w:rPr>
      </w:pPr>
      <w:r>
        <w:rPr>
          <w:rFonts w:ascii="Arial" w:hAnsi="Arial"/>
          <w:b/>
          <w:bCs/>
          <w:lang w:val="fr-FR"/>
        </w:rPr>
        <w:t>VITESSE DE FERMETURE :</w:t>
      </w:r>
      <w:r>
        <w:rPr>
          <w:rFonts w:ascii="Arial" w:hAnsi="Arial"/>
          <w:b/>
          <w:bCs/>
          <w:lang w:val="fr-FR"/>
        </w:rPr>
        <w:tab/>
        <w:t>jusqu’à env. 0,6 m/sec.</w:t>
      </w:r>
    </w:p>
    <w:p w14:paraId="4F7A1773" w14:textId="77777777" w:rsidR="005F7DD3" w:rsidRDefault="005F7DD3" w:rsidP="005F7DD3">
      <w:pPr>
        <w:ind w:right="170"/>
        <w:jc w:val="both"/>
        <w:rPr>
          <w:rFonts w:ascii="Arial" w:hAnsi="Arial"/>
          <w:b/>
        </w:rPr>
      </w:pPr>
    </w:p>
    <w:p w14:paraId="19E280CE" w14:textId="77777777" w:rsidR="005F7DD3" w:rsidRDefault="005F7DD3" w:rsidP="005F7DD3">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 V / 50 Hz sur place.</w:t>
      </w:r>
    </w:p>
    <w:p w14:paraId="21741323" w14:textId="77777777" w:rsidR="005F7DD3" w:rsidRDefault="005F7DD3" w:rsidP="005F7DD3">
      <w:pPr>
        <w:ind w:right="170"/>
        <w:jc w:val="both"/>
        <w:rPr>
          <w:rFonts w:ascii="Arial" w:hAnsi="Arial"/>
        </w:rPr>
      </w:pPr>
    </w:p>
    <w:p w14:paraId="7D0EF74F" w14:textId="77777777" w:rsidR="005F7DD3" w:rsidRDefault="005F7DD3" w:rsidP="005F7DD3">
      <w:pPr>
        <w:ind w:right="170"/>
        <w:jc w:val="both"/>
        <w:rPr>
          <w:rFonts w:ascii="Arial" w:hAnsi="Arial"/>
        </w:rPr>
      </w:pPr>
    </w:p>
    <w:p w14:paraId="42328A7C" w14:textId="77777777" w:rsidR="005F7DD3" w:rsidRDefault="005F7DD3" w:rsidP="005F7DD3">
      <w:pPr>
        <w:ind w:right="170"/>
        <w:jc w:val="both"/>
        <w:rPr>
          <w:rFonts w:ascii="Arial" w:hAnsi="Arial"/>
        </w:rPr>
      </w:pPr>
      <w:r>
        <w:rPr>
          <w:rFonts w:ascii="Arial" w:hAnsi="Arial"/>
          <w:lang w:val="fr-FR"/>
        </w:rPr>
        <w:t xml:space="preserve">Une </w:t>
      </w:r>
      <w:r>
        <w:rPr>
          <w:rFonts w:ascii="Arial" w:hAnsi="Arial"/>
          <w:b/>
          <w:bCs/>
          <w:lang w:val="fr-FR"/>
        </w:rPr>
        <w:t>barre palpeuse de sécurité</w:t>
      </w:r>
      <w:r>
        <w:rPr>
          <w:rFonts w:ascii="Arial" w:hAnsi="Arial"/>
          <w:lang w:val="fr-FR"/>
        </w:rPr>
        <w:t xml:space="preserve"> électrique autocontrôlée selon la norme DIN EN 12453 est comprise dans la livraison : Le câble d’alimentation doit être inséré de manière protégée dans une chaîne énergétique à l’intérieur du montant de porte.</w:t>
      </w:r>
    </w:p>
    <w:p w14:paraId="27F78965" w14:textId="77777777" w:rsidR="005F7DD3" w:rsidRDefault="005F7DD3" w:rsidP="005F7DD3">
      <w:pPr>
        <w:ind w:right="170"/>
        <w:jc w:val="both"/>
        <w:rPr>
          <w:rFonts w:ascii="Arial" w:hAnsi="Arial"/>
          <w:b/>
        </w:rPr>
      </w:pPr>
    </w:p>
    <w:p w14:paraId="5E5EB311" w14:textId="77777777" w:rsidR="005F7DD3" w:rsidRDefault="005F7DD3" w:rsidP="005F7DD3">
      <w:pPr>
        <w:ind w:right="113"/>
        <w:jc w:val="both"/>
        <w:rPr>
          <w:rFonts w:ascii="Arial" w:hAnsi="Arial"/>
        </w:rPr>
      </w:pPr>
    </w:p>
    <w:p w14:paraId="72088909" w14:textId="77777777" w:rsidR="005F7DD3" w:rsidRDefault="005F7DD3" w:rsidP="005F7DD3">
      <w:pPr>
        <w:ind w:right="170"/>
        <w:jc w:val="both"/>
        <w:rPr>
          <w:rFonts w:ascii="Arial" w:hAnsi="Arial"/>
        </w:rPr>
      </w:pPr>
      <w:r>
        <w:rPr>
          <w:rFonts w:ascii="Arial" w:hAnsi="Arial"/>
          <w:lang w:val="fr-FR"/>
        </w:rPr>
        <w:t>Les règlements selon la norme DIN EN 13241-1 sont respectés ;</w:t>
      </w:r>
    </w:p>
    <w:p w14:paraId="4C7E13C2" w14:textId="77777777" w:rsidR="005F7DD3" w:rsidRDefault="005F7DD3" w:rsidP="005F7DD3">
      <w:pPr>
        <w:ind w:right="170"/>
        <w:jc w:val="both"/>
        <w:rPr>
          <w:rFonts w:ascii="Arial" w:hAnsi="Arial"/>
        </w:rPr>
      </w:pPr>
    </w:p>
    <w:p w14:paraId="1BC8CC20" w14:textId="77777777" w:rsidR="005F7DD3" w:rsidRDefault="005F7DD3" w:rsidP="005F7DD3">
      <w:pPr>
        <w:ind w:right="169" w:hanging="27"/>
        <w:jc w:val="both"/>
        <w:rPr>
          <w:rFonts w:ascii="Arial" w:hAnsi="Arial"/>
        </w:rPr>
      </w:pPr>
    </w:p>
    <w:p w14:paraId="014BA884" w14:textId="77777777" w:rsidR="005F7DD3" w:rsidRDefault="005F7DD3" w:rsidP="005F7DD3">
      <w:pPr>
        <w:ind w:right="170"/>
        <w:jc w:val="both"/>
        <w:rPr>
          <w:rFonts w:ascii="Arial" w:hAnsi="Arial"/>
        </w:rPr>
      </w:pPr>
      <w:r>
        <w:rPr>
          <w:rFonts w:ascii="Arial" w:hAnsi="Arial"/>
          <w:lang w:val="fr-FR"/>
        </w:rPr>
        <w:t>ouverture de passage libre</w:t>
      </w:r>
    </w:p>
    <w:p w14:paraId="4E8C8EF8" w14:textId="77777777" w:rsidR="005F7DD3" w:rsidRPr="0068123E" w:rsidRDefault="005F7DD3" w:rsidP="005F7DD3">
      <w:pPr>
        <w:ind w:right="170"/>
        <w:jc w:val="both"/>
        <w:rPr>
          <w:rFonts w:ascii="Arial" w:hAnsi="Arial"/>
          <w:sz w:val="12"/>
          <w:szCs w:val="12"/>
        </w:rPr>
      </w:pPr>
    </w:p>
    <w:p w14:paraId="015590B9" w14:textId="77777777" w:rsidR="005F7DD3" w:rsidRDefault="005F7DD3" w:rsidP="005F7DD3">
      <w:pPr>
        <w:ind w:right="170"/>
        <w:jc w:val="both"/>
        <w:rPr>
          <w:rFonts w:ascii="Arial" w:hAnsi="Arial"/>
        </w:rPr>
      </w:pPr>
      <w:r>
        <w:rPr>
          <w:rFonts w:ascii="Arial" w:hAnsi="Arial"/>
          <w:lang w:val="fr-FR"/>
        </w:rPr>
        <w:t>Largeur = ............... mm  x  Hauteur = ............... mm</w:t>
      </w:r>
    </w:p>
    <w:p w14:paraId="4A9DB2DE" w14:textId="77777777" w:rsidR="005F7DD3" w:rsidRDefault="005F7DD3" w:rsidP="005F7DD3">
      <w:pPr>
        <w:ind w:right="170"/>
        <w:jc w:val="both"/>
        <w:rPr>
          <w:rFonts w:ascii="Arial" w:hAnsi="Arial"/>
        </w:rPr>
      </w:pPr>
    </w:p>
    <w:p w14:paraId="1EE3C831" w14:textId="77777777" w:rsidR="005F7DD3" w:rsidRPr="00647DA3" w:rsidRDefault="005F7DD3" w:rsidP="005F7DD3">
      <w:pPr>
        <w:ind w:right="170"/>
        <w:jc w:val="both"/>
        <w:rPr>
          <w:rFonts w:ascii="Arial" w:hAnsi="Arial"/>
          <w:b/>
        </w:rPr>
      </w:pPr>
      <w:r>
        <w:rPr>
          <w:rFonts w:ascii="Arial" w:hAnsi="Arial"/>
          <w:b/>
          <w:bCs/>
          <w:lang w:val="fr-FR"/>
        </w:rPr>
        <w:t>Références du fabricant :</w:t>
      </w:r>
    </w:p>
    <w:p w14:paraId="2383C111" w14:textId="77777777" w:rsidR="005F7DD3" w:rsidRDefault="005F7DD3" w:rsidP="005F7DD3">
      <w:pPr>
        <w:ind w:right="170"/>
        <w:jc w:val="both"/>
        <w:rPr>
          <w:rFonts w:ascii="Arial" w:hAnsi="Arial"/>
        </w:rPr>
      </w:pPr>
      <w:r>
        <w:rPr>
          <w:rFonts w:ascii="Arial" w:hAnsi="Arial"/>
          <w:lang w:val="fr-FR"/>
        </w:rPr>
        <w:t>EFAFLEX Tor- und Sicherheitssysteme GmbH &amp; Co. KG</w:t>
      </w:r>
    </w:p>
    <w:p w14:paraId="109264AC" w14:textId="77777777" w:rsidR="005F7DD3" w:rsidRDefault="005F7DD3" w:rsidP="005F7DD3">
      <w:pPr>
        <w:ind w:right="170"/>
        <w:jc w:val="both"/>
        <w:rPr>
          <w:rFonts w:ascii="Arial" w:hAnsi="Arial"/>
        </w:rPr>
      </w:pPr>
      <w:r>
        <w:rPr>
          <w:rFonts w:ascii="Arial" w:hAnsi="Arial"/>
          <w:lang w:val="fr-FR"/>
        </w:rPr>
        <w:t>www.efaflex.com</w:t>
      </w:r>
    </w:p>
    <w:p w14:paraId="50E43116" w14:textId="77777777" w:rsidR="005F7DD3" w:rsidRDefault="005F7DD3" w:rsidP="005F7DD3">
      <w:pPr>
        <w:ind w:right="170"/>
        <w:jc w:val="both"/>
        <w:rPr>
          <w:rFonts w:ascii="Arial" w:hAnsi="Arial"/>
        </w:rPr>
      </w:pPr>
    </w:p>
    <w:p w14:paraId="5D3C0410" w14:textId="080CADD0" w:rsidR="005F7DD3" w:rsidRPr="002074A7" w:rsidRDefault="005F7DD3" w:rsidP="005F7DD3">
      <w:pPr>
        <w:ind w:right="169"/>
        <w:jc w:val="both"/>
        <w:rPr>
          <w:rFonts w:ascii="Arial" w:hAnsi="Arial"/>
          <w:b/>
          <w:u w:val="single"/>
        </w:rPr>
      </w:pPr>
      <w:r>
        <w:rPr>
          <w:rFonts w:ascii="Arial" w:hAnsi="Arial"/>
          <w:b/>
          <w:bCs/>
          <w:u w:val="single"/>
          <w:lang w:val="fr-FR"/>
        </w:rPr>
        <w:t>OPTIONS pour porte rapide à enroulement « EFA-SRT</w:t>
      </w:r>
      <w:r>
        <w:rPr>
          <w:rFonts w:ascii="Arial" w:hAnsi="Arial"/>
          <w:b/>
          <w:bCs/>
          <w:u w:val="single"/>
          <w:vertAlign w:val="superscript"/>
          <w:lang w:val="fr-FR"/>
        </w:rPr>
        <w:t>®</w:t>
      </w:r>
      <w:r>
        <w:rPr>
          <w:rFonts w:ascii="Arial" w:hAnsi="Arial"/>
          <w:b/>
          <w:bCs/>
          <w:u w:val="single"/>
          <w:lang w:val="fr-FR"/>
        </w:rPr>
        <w:t xml:space="preserve">-S </w:t>
      </w:r>
      <w:r>
        <w:rPr>
          <w:rFonts w:ascii="Arial" w:hAnsi="Arial"/>
          <w:b/>
          <w:bCs/>
          <w:lang w:val="fr-FR"/>
        </w:rPr>
        <w:t xml:space="preserve">EAS </w:t>
      </w:r>
      <w:r>
        <w:rPr>
          <w:rFonts w:ascii="Arial" w:hAnsi="Arial"/>
          <w:b/>
          <w:bCs/>
          <w:u w:val="single"/>
          <w:lang w:val="fr-FR"/>
        </w:rPr>
        <w:t>» :</w:t>
      </w:r>
    </w:p>
    <w:p w14:paraId="6274C94E" w14:textId="5C1BF2B5" w:rsidR="005F7DD3" w:rsidRDefault="005F7DD3" w:rsidP="005F7DD3">
      <w:pPr>
        <w:ind w:right="169"/>
        <w:jc w:val="both"/>
        <w:rPr>
          <w:rFonts w:ascii="Arial" w:hAnsi="Arial"/>
          <w:b/>
          <w:u w:val="single"/>
        </w:rPr>
      </w:pPr>
    </w:p>
    <w:p w14:paraId="69BB6A12" w14:textId="77777777" w:rsidR="003E086A" w:rsidRPr="00B7293F" w:rsidRDefault="003E086A" w:rsidP="003E086A">
      <w:pPr>
        <w:ind w:right="169"/>
        <w:jc w:val="both"/>
        <w:rPr>
          <w:rFonts w:ascii="Arial" w:hAnsi="Arial"/>
          <w:b/>
        </w:rPr>
      </w:pPr>
      <w:r>
        <w:rPr>
          <w:rFonts w:ascii="Arial" w:hAnsi="Arial"/>
          <w:b/>
          <w:bCs/>
          <w:lang w:val="fr-FR"/>
        </w:rPr>
        <w:t>Augmentation de la vitesse du tablier :</w:t>
      </w:r>
    </w:p>
    <w:p w14:paraId="55E1144C" w14:textId="77777777" w:rsidR="003E086A" w:rsidRPr="00B7293F" w:rsidRDefault="003E086A" w:rsidP="003E086A">
      <w:pPr>
        <w:ind w:right="169"/>
        <w:jc w:val="both"/>
        <w:rPr>
          <w:rFonts w:ascii="Arial" w:hAnsi="Arial"/>
          <w:b/>
        </w:rPr>
      </w:pPr>
      <w:r>
        <w:rPr>
          <w:rFonts w:ascii="Arial" w:hAnsi="Arial"/>
          <w:b/>
          <w:bCs/>
          <w:lang w:val="fr-FR"/>
        </w:rPr>
        <w:t>VITESSE D’OUVERTURE :</w:t>
      </w:r>
      <w:r>
        <w:rPr>
          <w:rFonts w:ascii="Arial" w:hAnsi="Arial"/>
          <w:b/>
          <w:bCs/>
          <w:lang w:val="fr-FR"/>
        </w:rPr>
        <w:tab/>
      </w:r>
      <w:r>
        <w:rPr>
          <w:rFonts w:ascii="Arial" w:hAnsi="Arial"/>
          <w:b/>
          <w:bCs/>
          <w:lang w:val="fr-FR"/>
        </w:rPr>
        <w:tab/>
        <w:t> jusqu’à env. 1,5 m/sec.</w:t>
      </w:r>
    </w:p>
    <w:p w14:paraId="36D486B2" w14:textId="77777777" w:rsidR="003E086A" w:rsidRPr="00B7293F" w:rsidRDefault="003E086A" w:rsidP="003E086A">
      <w:pPr>
        <w:ind w:right="169"/>
        <w:jc w:val="both"/>
        <w:rPr>
          <w:rFonts w:ascii="Arial" w:hAnsi="Arial"/>
          <w:b/>
        </w:rPr>
      </w:pPr>
      <w:r>
        <w:rPr>
          <w:rFonts w:ascii="Arial" w:hAnsi="Arial"/>
          <w:b/>
          <w:bCs/>
          <w:lang w:val="fr-FR"/>
        </w:rPr>
        <w:t>VITESSE DE TABLIER max. :</w:t>
      </w:r>
      <w:r>
        <w:rPr>
          <w:rFonts w:ascii="Arial" w:hAnsi="Arial"/>
          <w:b/>
          <w:bCs/>
          <w:lang w:val="fr-FR"/>
        </w:rPr>
        <w:tab/>
        <w:t>jusqu’à env. 2,0 m/sec.</w:t>
      </w:r>
    </w:p>
    <w:p w14:paraId="12402166" w14:textId="77777777" w:rsidR="003E086A" w:rsidRPr="00B7293F" w:rsidRDefault="003E086A" w:rsidP="003E086A">
      <w:pPr>
        <w:ind w:right="169"/>
        <w:jc w:val="both"/>
        <w:rPr>
          <w:rFonts w:ascii="Arial" w:hAnsi="Arial"/>
          <w:bCs/>
        </w:rPr>
      </w:pPr>
      <w:r>
        <w:rPr>
          <w:rFonts w:ascii="Arial" w:hAnsi="Arial"/>
          <w:lang w:val="fr-FR"/>
        </w:rPr>
        <w:tab/>
      </w:r>
      <w:r>
        <w:rPr>
          <w:rFonts w:ascii="Arial" w:hAnsi="Arial"/>
          <w:lang w:val="fr-FR"/>
        </w:rPr>
        <w:tab/>
      </w:r>
      <w:r>
        <w:rPr>
          <w:rFonts w:ascii="Arial" w:hAnsi="Arial"/>
          <w:lang w:val="fr-FR"/>
        </w:rPr>
        <w:tab/>
      </w:r>
      <w:r>
        <w:rPr>
          <w:rFonts w:ascii="Arial" w:hAnsi="Arial"/>
          <w:lang w:val="fr-FR"/>
        </w:rPr>
        <w:tab/>
      </w:r>
      <w:r>
        <w:rPr>
          <w:rFonts w:ascii="Arial" w:hAnsi="Arial"/>
          <w:lang w:val="fr-FR"/>
        </w:rPr>
        <w:tab/>
      </w:r>
      <w:r>
        <w:rPr>
          <w:rFonts w:ascii="Arial" w:hAnsi="Arial"/>
          <w:lang w:val="fr-FR"/>
        </w:rPr>
        <w:tab/>
        <w:t>(en fonction de la taille de la porte)</w:t>
      </w:r>
    </w:p>
    <w:p w14:paraId="414E0B83" w14:textId="77777777" w:rsidR="003E086A" w:rsidRPr="00B7293F" w:rsidRDefault="003E086A" w:rsidP="003E086A">
      <w:pPr>
        <w:ind w:right="169"/>
        <w:jc w:val="both"/>
        <w:rPr>
          <w:rFonts w:ascii="Arial" w:hAnsi="Arial"/>
          <w:b/>
        </w:rPr>
      </w:pPr>
      <w:r>
        <w:rPr>
          <w:rFonts w:ascii="Arial" w:hAnsi="Arial"/>
          <w:b/>
          <w:bCs/>
          <w:lang w:val="fr-FR"/>
        </w:rPr>
        <w:t>VITESSE DE FERMETURE :</w:t>
      </w:r>
      <w:r>
        <w:rPr>
          <w:rFonts w:ascii="Arial" w:hAnsi="Arial"/>
          <w:b/>
          <w:bCs/>
          <w:lang w:val="fr-FR"/>
        </w:rPr>
        <w:tab/>
      </w:r>
      <w:r>
        <w:rPr>
          <w:rFonts w:ascii="Arial" w:hAnsi="Arial"/>
          <w:b/>
          <w:bCs/>
          <w:lang w:val="fr-FR"/>
        </w:rPr>
        <w:tab/>
        <w:t> jusqu’à env. 0,75 m/sec.</w:t>
      </w:r>
    </w:p>
    <w:p w14:paraId="373AE6F7" w14:textId="77777777" w:rsidR="003E086A" w:rsidRDefault="003E086A" w:rsidP="005F7DD3">
      <w:pPr>
        <w:ind w:right="169"/>
        <w:jc w:val="both"/>
        <w:rPr>
          <w:rFonts w:ascii="Arial" w:hAnsi="Arial"/>
          <w:b/>
          <w:u w:val="single"/>
        </w:rPr>
      </w:pPr>
    </w:p>
    <w:p w14:paraId="355B99F7" w14:textId="77777777" w:rsidR="005F7DD3" w:rsidRDefault="005F7DD3" w:rsidP="005F7DD3">
      <w:pPr>
        <w:ind w:right="169"/>
        <w:jc w:val="both"/>
        <w:rPr>
          <w:rFonts w:ascii="Arial" w:hAnsi="Arial"/>
          <w:b/>
          <w:u w:val="single"/>
        </w:rPr>
      </w:pPr>
    </w:p>
    <w:p w14:paraId="162E7066" w14:textId="77777777" w:rsidR="005F7DD3" w:rsidRDefault="005F7DD3" w:rsidP="005F7DD3">
      <w:pPr>
        <w:ind w:left="57" w:right="57"/>
        <w:jc w:val="both"/>
        <w:rPr>
          <w:rFonts w:ascii="Arial" w:hAnsi="Arial"/>
          <w:b/>
        </w:rPr>
      </w:pPr>
      <w:r>
        <w:rPr>
          <w:rFonts w:ascii="Arial" w:hAnsi="Arial"/>
          <w:b/>
          <w:bCs/>
          <w:lang w:val="fr-FR"/>
        </w:rPr>
        <w:t>Habillage de l’arbre d’enroulement / moteur :</w:t>
      </w:r>
    </w:p>
    <w:p w14:paraId="0E9AC077" w14:textId="77777777" w:rsidR="005F7DD3" w:rsidRDefault="005F7DD3" w:rsidP="005F7DD3">
      <w:pPr>
        <w:ind w:left="57" w:right="57"/>
        <w:jc w:val="both"/>
        <w:rPr>
          <w:rFonts w:ascii="Arial" w:hAnsi="Arial"/>
        </w:rPr>
      </w:pPr>
      <w:r>
        <w:rPr>
          <w:rFonts w:ascii="Arial" w:hAnsi="Arial"/>
          <w:lang w:val="fr-FR"/>
        </w:rPr>
        <w:t>Capot du moteur</w:t>
      </w:r>
    </w:p>
    <w:p w14:paraId="61D64CAD" w14:textId="77777777" w:rsidR="005F7DD3" w:rsidRDefault="005F7DD3" w:rsidP="005F7DD3">
      <w:pPr>
        <w:ind w:left="57" w:right="57"/>
        <w:jc w:val="both"/>
        <w:rPr>
          <w:rFonts w:ascii="Arial" w:hAnsi="Arial"/>
        </w:rPr>
      </w:pPr>
      <w:r>
        <w:rPr>
          <w:rFonts w:ascii="Arial" w:hAnsi="Arial"/>
          <w:lang w:val="fr-FR"/>
        </w:rPr>
        <w:t>Habillage frontal par le moteur et l’arbre</w:t>
      </w:r>
    </w:p>
    <w:p w14:paraId="75487292" w14:textId="77777777" w:rsidR="005F7DD3" w:rsidRDefault="005F7DD3" w:rsidP="005F7DD3">
      <w:pPr>
        <w:ind w:left="57" w:right="57"/>
        <w:jc w:val="both"/>
        <w:rPr>
          <w:rFonts w:ascii="Arial" w:hAnsi="Arial"/>
        </w:rPr>
      </w:pPr>
      <w:r>
        <w:rPr>
          <w:rFonts w:ascii="Arial" w:hAnsi="Arial"/>
          <w:lang w:val="fr-FR"/>
        </w:rPr>
        <w:t>Capotage complet par le moteur et l’arbre</w:t>
      </w:r>
    </w:p>
    <w:p w14:paraId="77603030" w14:textId="77777777" w:rsidR="005F7DD3" w:rsidRDefault="005F7DD3" w:rsidP="005F7DD3">
      <w:pPr>
        <w:ind w:right="170"/>
        <w:jc w:val="both"/>
        <w:rPr>
          <w:rFonts w:ascii="Arial" w:hAnsi="Arial"/>
        </w:rPr>
      </w:pPr>
    </w:p>
    <w:p w14:paraId="4025AA08" w14:textId="77777777" w:rsidR="005F7DD3" w:rsidRPr="00A01EB1" w:rsidRDefault="005F7DD3" w:rsidP="005F7DD3">
      <w:pPr>
        <w:ind w:right="169"/>
        <w:jc w:val="both"/>
        <w:rPr>
          <w:rFonts w:ascii="Arial" w:hAnsi="Arial"/>
          <w:sz w:val="16"/>
          <w:szCs w:val="16"/>
        </w:rPr>
      </w:pPr>
    </w:p>
    <w:p w14:paraId="7FF8D3D6" w14:textId="77777777" w:rsidR="005F7DD3" w:rsidRPr="002074A7" w:rsidRDefault="005F7DD3" w:rsidP="005F7DD3">
      <w:pPr>
        <w:ind w:right="169"/>
        <w:jc w:val="both"/>
        <w:rPr>
          <w:rFonts w:ascii="Arial" w:hAnsi="Arial"/>
          <w:b/>
        </w:rPr>
      </w:pPr>
      <w:r>
        <w:rPr>
          <w:rFonts w:ascii="Arial" w:hAnsi="Arial"/>
          <w:b/>
          <w:bCs/>
          <w:lang w:val="fr-FR"/>
        </w:rPr>
        <w:t>Surface :</w:t>
      </w:r>
    </w:p>
    <w:p w14:paraId="07E3BE45" w14:textId="77777777" w:rsidR="005F7DD3" w:rsidRDefault="005F7DD3" w:rsidP="005F7DD3">
      <w:pPr>
        <w:ind w:right="169"/>
        <w:jc w:val="both"/>
        <w:rPr>
          <w:rFonts w:ascii="Arial" w:hAnsi="Arial"/>
        </w:rPr>
      </w:pPr>
      <w:r>
        <w:rPr>
          <w:rFonts w:ascii="Arial" w:hAnsi="Arial"/>
          <w:lang w:val="fr-FR"/>
        </w:rPr>
        <w:t xml:space="preserve">Revêtement en poudre de toutes les pièces en acier galvanisées dans une couleur selon RAL __________     (des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4707048E" w14:textId="77777777" w:rsidR="005F7DD3" w:rsidRDefault="005F7DD3" w:rsidP="005F7DD3">
      <w:pPr>
        <w:ind w:right="169"/>
        <w:jc w:val="both"/>
        <w:rPr>
          <w:rFonts w:ascii="Arial" w:hAnsi="Arial"/>
          <w:b/>
        </w:rPr>
      </w:pPr>
    </w:p>
    <w:p w14:paraId="666B3B83" w14:textId="77777777" w:rsidR="005F7DD3" w:rsidRDefault="005F7DD3" w:rsidP="005F7DD3">
      <w:pPr>
        <w:ind w:right="169"/>
        <w:jc w:val="both"/>
        <w:rPr>
          <w:rFonts w:ascii="Arial" w:hAnsi="Arial"/>
          <w:u w:val="single"/>
        </w:rPr>
      </w:pPr>
    </w:p>
    <w:p w14:paraId="3AD6FD76" w14:textId="77777777" w:rsidR="005F7DD3" w:rsidRDefault="005F7DD3" w:rsidP="005F7DD3">
      <w:pPr>
        <w:ind w:right="169"/>
        <w:jc w:val="both"/>
        <w:rPr>
          <w:rFonts w:ascii="Arial" w:hAnsi="Arial"/>
          <w:u w:val="single"/>
        </w:rPr>
      </w:pPr>
    </w:p>
    <w:p w14:paraId="64C66EC8" w14:textId="77777777" w:rsidR="005F7DD3" w:rsidRPr="00DC3706" w:rsidRDefault="005F7DD3" w:rsidP="005F7DD3">
      <w:pPr>
        <w:ind w:right="312"/>
        <w:jc w:val="both"/>
        <w:rPr>
          <w:rFonts w:ascii="Arial" w:hAnsi="Arial"/>
          <w:b/>
        </w:rPr>
      </w:pPr>
      <w:r>
        <w:rPr>
          <w:rFonts w:ascii="Arial" w:hAnsi="Arial"/>
          <w:b/>
          <w:bCs/>
          <w:lang w:val="fr-FR"/>
        </w:rPr>
        <w:t>Tabliers spéciaux :</w:t>
      </w:r>
    </w:p>
    <w:p w14:paraId="2B94E379" w14:textId="77777777" w:rsidR="005F7DD3" w:rsidRDefault="005F7DD3" w:rsidP="005F7DD3">
      <w:pPr>
        <w:ind w:right="27"/>
        <w:jc w:val="both"/>
        <w:rPr>
          <w:rFonts w:ascii="Arial" w:hAnsi="Arial" w:cs="Arial"/>
          <w:b/>
          <w:u w:val="single"/>
        </w:rPr>
      </w:pPr>
    </w:p>
    <w:p w14:paraId="09E75341" w14:textId="77777777" w:rsidR="005F7DD3" w:rsidRDefault="005F7DD3" w:rsidP="005F7DD3">
      <w:pPr>
        <w:ind w:right="27"/>
        <w:jc w:val="both"/>
        <w:rPr>
          <w:rFonts w:ascii="Arial" w:hAnsi="Arial" w:cs="Arial"/>
        </w:rPr>
      </w:pPr>
      <w:r>
        <w:rPr>
          <w:rFonts w:ascii="Arial" w:hAnsi="Arial" w:cs="Arial"/>
          <w:b/>
          <w:bCs/>
          <w:lang w:val="fr-FR"/>
        </w:rPr>
        <w:t xml:space="preserve">Tissu en polyester </w:t>
      </w:r>
      <w:r>
        <w:rPr>
          <w:rFonts w:ascii="Arial" w:hAnsi="Arial" w:cs="Arial"/>
          <w:lang w:val="fr-FR"/>
        </w:rPr>
        <w:t xml:space="preserve">d’une épaisseur de </w:t>
      </w:r>
      <w:r>
        <w:rPr>
          <w:rFonts w:ascii="Arial" w:hAnsi="Arial" w:cs="Arial"/>
          <w:b/>
          <w:bCs/>
          <w:lang w:val="fr-FR"/>
        </w:rPr>
        <w:t>2,0 </w:t>
      </w:r>
      <w:r>
        <w:rPr>
          <w:rFonts w:ascii="Arial" w:hAnsi="Arial" w:cs="Arial"/>
          <w:lang w:val="fr-FR"/>
        </w:rPr>
        <w:t>mm, à stabilité transversale, agréé par la FDA</w:t>
      </w:r>
    </w:p>
    <w:p w14:paraId="0A71A43B" w14:textId="77777777" w:rsidR="005F7DD3" w:rsidRPr="009C365A" w:rsidRDefault="005F7DD3" w:rsidP="005F7DD3">
      <w:pPr>
        <w:ind w:right="27"/>
        <w:jc w:val="both"/>
        <w:rPr>
          <w:rFonts w:ascii="Arial" w:hAnsi="Arial" w:cs="Arial"/>
        </w:rPr>
      </w:pPr>
      <w:r>
        <w:rPr>
          <w:rFonts w:ascii="Arial" w:hAnsi="Arial" w:cs="Arial"/>
          <w:lang w:val="fr-FR"/>
        </w:rPr>
        <w:t xml:space="preserve">rouge / orange / jaune : pas antistatique, sans silicone </w:t>
      </w:r>
    </w:p>
    <w:p w14:paraId="44B62714" w14:textId="77777777" w:rsidR="005F7DD3" w:rsidRPr="009C365A" w:rsidRDefault="005F7DD3" w:rsidP="005F7DD3">
      <w:pPr>
        <w:ind w:right="27"/>
        <w:jc w:val="both"/>
        <w:rPr>
          <w:rFonts w:ascii="Arial" w:hAnsi="Arial" w:cs="Arial"/>
        </w:rPr>
      </w:pPr>
      <w:r>
        <w:rPr>
          <w:rFonts w:ascii="Arial" w:hAnsi="Arial" w:cs="Arial"/>
          <w:lang w:val="fr-FR"/>
        </w:rPr>
        <w:t>bleu / gris-blanc : antistatique, sans silicone</w:t>
      </w:r>
    </w:p>
    <w:p w14:paraId="1B05F439" w14:textId="77777777" w:rsidR="005F7DD3" w:rsidRPr="009C365A" w:rsidRDefault="005F7DD3" w:rsidP="005F7DD3">
      <w:pPr>
        <w:ind w:right="27"/>
        <w:jc w:val="both"/>
        <w:rPr>
          <w:rFonts w:ascii="Arial" w:hAnsi="Arial" w:cs="Arial"/>
          <w:sz w:val="16"/>
        </w:rPr>
      </w:pPr>
    </w:p>
    <w:p w14:paraId="4E76ECE6" w14:textId="77777777" w:rsidR="005F7DD3" w:rsidRPr="009C365A" w:rsidRDefault="005F7DD3" w:rsidP="005F7DD3">
      <w:pPr>
        <w:ind w:right="27"/>
        <w:jc w:val="both"/>
        <w:rPr>
          <w:rFonts w:ascii="Arial" w:hAnsi="Arial" w:cs="Arial"/>
          <w:sz w:val="16"/>
        </w:rPr>
      </w:pPr>
    </w:p>
    <w:p w14:paraId="436B0441" w14:textId="77777777" w:rsidR="005F7DD3" w:rsidRDefault="005F7DD3" w:rsidP="005F7DD3">
      <w:pPr>
        <w:ind w:right="27"/>
        <w:jc w:val="both"/>
        <w:rPr>
          <w:rFonts w:ascii="Arial" w:hAnsi="Arial" w:cs="Arial"/>
          <w:b/>
        </w:rPr>
      </w:pPr>
      <w:r>
        <w:rPr>
          <w:rFonts w:ascii="Arial" w:hAnsi="Arial" w:cs="Arial"/>
          <w:b/>
          <w:bCs/>
          <w:lang w:val="fr-FR"/>
        </w:rPr>
        <w:t>voir ci-dessus, mais</w:t>
      </w:r>
    </w:p>
    <w:p w14:paraId="7B8EFD23" w14:textId="77777777" w:rsidR="005F7DD3" w:rsidRPr="004C5405" w:rsidRDefault="005F7DD3" w:rsidP="005F7DD3">
      <w:pPr>
        <w:ind w:right="27"/>
        <w:jc w:val="both"/>
        <w:rPr>
          <w:rFonts w:ascii="Arial" w:hAnsi="Arial" w:cs="Arial"/>
          <w:b/>
        </w:rPr>
      </w:pPr>
    </w:p>
    <w:p w14:paraId="37922B84" w14:textId="77777777" w:rsidR="005F7DD3" w:rsidRDefault="005F7DD3" w:rsidP="005F7DD3">
      <w:pPr>
        <w:ind w:right="27"/>
        <w:jc w:val="both"/>
        <w:rPr>
          <w:rFonts w:ascii="Arial" w:hAnsi="Arial" w:cs="Arial"/>
        </w:rPr>
      </w:pPr>
      <w:r>
        <w:rPr>
          <w:rFonts w:ascii="Arial" w:hAnsi="Arial" w:cs="Arial"/>
          <w:b/>
          <w:bCs/>
          <w:lang w:val="fr-FR"/>
        </w:rPr>
        <w:t>avec bandes transparentes</w:t>
      </w:r>
      <w:r>
        <w:rPr>
          <w:rFonts w:ascii="Arial" w:hAnsi="Arial" w:cs="Arial"/>
          <w:lang w:val="fr-FR"/>
        </w:rPr>
        <w:t xml:space="preserve"> en PVC complètement transparent</w:t>
      </w:r>
    </w:p>
    <w:p w14:paraId="7D9C2DE8" w14:textId="77777777" w:rsidR="005F7DD3" w:rsidRDefault="005F7DD3" w:rsidP="005F7DD3">
      <w:pPr>
        <w:ind w:right="27"/>
        <w:jc w:val="both"/>
        <w:rPr>
          <w:rFonts w:ascii="Arial" w:hAnsi="Arial" w:cs="Arial"/>
          <w:sz w:val="16"/>
        </w:rPr>
      </w:pPr>
      <w:r>
        <w:rPr>
          <w:rFonts w:ascii="Arial" w:hAnsi="Arial" w:cs="Arial"/>
          <w:sz w:val="16"/>
          <w:lang w:val="fr-FR"/>
        </w:rPr>
        <w:t>(Pour le tablier avec fenêtre, seulement en partie antistatique et en partie agréé</w:t>
      </w:r>
    </w:p>
    <w:p w14:paraId="6B9A1E01" w14:textId="77777777" w:rsidR="005F7DD3" w:rsidRDefault="005F7DD3" w:rsidP="005F7DD3">
      <w:pPr>
        <w:ind w:right="27"/>
        <w:jc w:val="both"/>
        <w:rPr>
          <w:rFonts w:ascii="Arial" w:hAnsi="Arial" w:cs="Arial"/>
        </w:rPr>
      </w:pPr>
      <w:r>
        <w:rPr>
          <w:rFonts w:ascii="Arial" w:hAnsi="Arial" w:cs="Arial"/>
          <w:sz w:val="16"/>
          <w:lang w:val="fr-FR"/>
        </w:rPr>
        <w:t>pour l’industrie alimentaire)</w:t>
      </w:r>
    </w:p>
    <w:p w14:paraId="127E0EF7" w14:textId="77777777" w:rsidR="005F7DD3" w:rsidRDefault="005F7DD3" w:rsidP="005F7DD3">
      <w:pPr>
        <w:ind w:right="27"/>
        <w:jc w:val="both"/>
        <w:rPr>
          <w:rFonts w:ascii="Arial" w:hAnsi="Arial" w:cs="Arial"/>
        </w:rPr>
      </w:pPr>
    </w:p>
    <w:p w14:paraId="0910E44A" w14:textId="77777777" w:rsidR="005F7DD3" w:rsidRPr="009C365A" w:rsidRDefault="005F7DD3" w:rsidP="005F7DD3">
      <w:pPr>
        <w:ind w:right="27"/>
        <w:jc w:val="both"/>
        <w:rPr>
          <w:rFonts w:ascii="Arial" w:hAnsi="Arial" w:cs="Arial"/>
          <w:b/>
        </w:rPr>
      </w:pPr>
      <w:r>
        <w:rPr>
          <w:rFonts w:ascii="Arial" w:hAnsi="Arial" w:cs="Arial"/>
          <w:b/>
          <w:bCs/>
          <w:lang w:val="fr-FR"/>
        </w:rPr>
        <w:t>Alternative :</w:t>
      </w:r>
    </w:p>
    <w:p w14:paraId="68129417" w14:textId="77777777" w:rsidR="005F7DD3" w:rsidRDefault="005F7DD3" w:rsidP="005F7DD3">
      <w:pPr>
        <w:ind w:right="27"/>
        <w:jc w:val="both"/>
        <w:rPr>
          <w:rFonts w:ascii="Arial" w:hAnsi="Arial" w:cs="Arial"/>
          <w:sz w:val="16"/>
        </w:rPr>
      </w:pPr>
    </w:p>
    <w:p w14:paraId="2BC832D0" w14:textId="77777777" w:rsidR="005F7DD3" w:rsidRDefault="005F7DD3" w:rsidP="005F7DD3">
      <w:pPr>
        <w:ind w:right="27"/>
        <w:jc w:val="both"/>
        <w:rPr>
          <w:rFonts w:ascii="Arial" w:hAnsi="Arial" w:cs="Arial"/>
          <w:b/>
        </w:rPr>
      </w:pPr>
      <w:r>
        <w:rPr>
          <w:rFonts w:ascii="Arial" w:hAnsi="Arial" w:cs="Arial"/>
          <w:b/>
          <w:bCs/>
          <w:lang w:val="fr-FR"/>
        </w:rPr>
        <w:t xml:space="preserve">Tissu en polyester </w:t>
      </w:r>
      <w:r>
        <w:rPr>
          <w:rFonts w:ascii="Arial" w:hAnsi="Arial" w:cs="Arial"/>
          <w:lang w:val="fr-FR"/>
        </w:rPr>
        <w:t xml:space="preserve">d’une épaisseur de </w:t>
      </w:r>
      <w:r>
        <w:rPr>
          <w:rFonts w:ascii="Arial" w:hAnsi="Arial" w:cs="Arial"/>
          <w:b/>
          <w:bCs/>
          <w:lang w:val="fr-FR"/>
        </w:rPr>
        <w:t>2,0</w:t>
      </w:r>
      <w:r>
        <w:rPr>
          <w:rFonts w:ascii="Arial" w:hAnsi="Arial" w:cs="Arial"/>
          <w:lang w:val="fr-FR"/>
        </w:rPr>
        <w:t> mm, gris-noir, à stabilité transversale, imprégné d’uréthane,</w:t>
      </w:r>
      <w:r>
        <w:rPr>
          <w:rFonts w:ascii="Arial" w:hAnsi="Arial" w:cs="Arial"/>
          <w:b/>
          <w:bCs/>
          <w:lang w:val="fr-FR"/>
        </w:rPr>
        <w:t xml:space="preserve"> </w:t>
      </w:r>
    </w:p>
    <w:p w14:paraId="3A522417" w14:textId="77777777" w:rsidR="005F7DD3" w:rsidRDefault="005F7DD3" w:rsidP="005F7DD3">
      <w:pPr>
        <w:ind w:right="27"/>
        <w:jc w:val="both"/>
        <w:rPr>
          <w:rFonts w:ascii="Arial" w:hAnsi="Arial" w:cs="Arial"/>
          <w:b/>
        </w:rPr>
      </w:pPr>
      <w:r>
        <w:rPr>
          <w:rFonts w:ascii="Arial" w:hAnsi="Arial" w:cs="Arial"/>
          <w:b/>
          <w:bCs/>
          <w:lang w:val="fr-FR"/>
        </w:rPr>
        <w:t>Difficilement inflammable B1 (SE) selon</w:t>
      </w:r>
      <w:r>
        <w:rPr>
          <w:rFonts w:ascii="Arial" w:hAnsi="Arial" w:cs="Arial"/>
          <w:lang w:val="fr-FR"/>
        </w:rPr>
        <w:t xml:space="preserve"> DIN EN 20340, </w:t>
      </w:r>
      <w:r>
        <w:rPr>
          <w:rFonts w:ascii="Arial" w:hAnsi="Arial" w:cs="Arial"/>
          <w:b/>
          <w:bCs/>
          <w:lang w:val="fr-FR"/>
        </w:rPr>
        <w:t>antistatique, sans silicone</w:t>
      </w:r>
    </w:p>
    <w:p w14:paraId="7C3F479D" w14:textId="77777777" w:rsidR="005F7DD3" w:rsidRDefault="005F7DD3" w:rsidP="005F7DD3">
      <w:pPr>
        <w:ind w:right="27"/>
        <w:jc w:val="both"/>
        <w:rPr>
          <w:rFonts w:ascii="Arial" w:hAnsi="Arial" w:cs="Arial"/>
          <w:b/>
        </w:rPr>
      </w:pPr>
    </w:p>
    <w:p w14:paraId="22AB5A42" w14:textId="77777777" w:rsidR="005F7DD3" w:rsidRDefault="005F7DD3" w:rsidP="005F7DD3">
      <w:pPr>
        <w:ind w:right="170"/>
        <w:jc w:val="both"/>
        <w:rPr>
          <w:rFonts w:ascii="Arial" w:hAnsi="Arial"/>
        </w:rPr>
      </w:pPr>
    </w:p>
    <w:p w14:paraId="26CCC971" w14:textId="77777777" w:rsidR="00EE052E" w:rsidRDefault="00EE052E"/>
    <w:sectPr w:rsidR="00EE052E" w:rsidSect="00B43239">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54E7" w14:textId="77777777" w:rsidR="00BA51A0" w:rsidRDefault="003E086A">
      <w:r>
        <w:separator/>
      </w:r>
    </w:p>
  </w:endnote>
  <w:endnote w:type="continuationSeparator" w:id="0">
    <w:p w14:paraId="33F51C8C" w14:textId="77777777" w:rsidR="00BA51A0" w:rsidRDefault="003E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5225" w14:textId="77777777" w:rsidR="00C84BD3" w:rsidRDefault="005F7DD3" w:rsidP="00447B48">
    <w:pPr>
      <w:pStyle w:val="Fuzeile"/>
    </w:pPr>
    <w:r>
      <w:rPr>
        <w:lang w:val="fr-FR"/>
      </w:rPr>
      <w:t>12/18 Sous réserve de modifications techniques</w:t>
    </w:r>
  </w:p>
  <w:p w14:paraId="2E0629D0" w14:textId="77777777" w:rsidR="00C84BD3" w:rsidRDefault="00DD3C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06163" w14:textId="77777777" w:rsidR="00BA51A0" w:rsidRDefault="003E086A">
      <w:r>
        <w:separator/>
      </w:r>
    </w:p>
  </w:footnote>
  <w:footnote w:type="continuationSeparator" w:id="0">
    <w:p w14:paraId="24BC1300" w14:textId="77777777" w:rsidR="00BA51A0" w:rsidRDefault="003E0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D3"/>
    <w:rsid w:val="00343157"/>
    <w:rsid w:val="003E086A"/>
    <w:rsid w:val="004A7B99"/>
    <w:rsid w:val="005F7DD3"/>
    <w:rsid w:val="008F79B7"/>
    <w:rsid w:val="00AF1933"/>
    <w:rsid w:val="00B27DDA"/>
    <w:rsid w:val="00BA51A0"/>
    <w:rsid w:val="00CD3D1F"/>
    <w:rsid w:val="00CD748A"/>
    <w:rsid w:val="00DD3C5B"/>
    <w:rsid w:val="00EE052E"/>
    <w:rsid w:val="00F31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C9160"/>
  <w15:chartTrackingRefBased/>
  <w15:docId w15:val="{06FA0615-3F44-4B67-A524-D0A2FD08E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7DD3"/>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5F7DD3"/>
    <w:pPr>
      <w:tabs>
        <w:tab w:val="center" w:pos="4536"/>
        <w:tab w:val="right" w:pos="9072"/>
      </w:tabs>
    </w:pPr>
  </w:style>
  <w:style w:type="character" w:customStyle="1" w:styleId="FuzeileZchn">
    <w:name w:val="Fußzeile Zchn"/>
    <w:basedOn w:val="Absatz-Standardschriftart"/>
    <w:link w:val="Fuzeile"/>
    <w:rsid w:val="005F7DD3"/>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3941</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Richter, Corina</cp:lastModifiedBy>
  <cp:revision>3</cp:revision>
  <dcterms:created xsi:type="dcterms:W3CDTF">2023-01-25T12:40:00Z</dcterms:created>
  <dcterms:modified xsi:type="dcterms:W3CDTF">2023-04-28T07:52:00Z</dcterms:modified>
</cp:coreProperties>
</file>